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15" w:rsidRDefault="008C0178">
      <w:pPr>
        <w:spacing w:line="276" w:lineRule="auto"/>
        <w:ind w:right="63"/>
        <w:jc w:val="center"/>
        <w:rPr>
          <w:b/>
        </w:rPr>
      </w:pPr>
      <w:bookmarkStart w:id="0" w:name="_GoBack"/>
      <w:bookmarkEnd w:id="0"/>
      <w:r>
        <w:rPr>
          <w:b/>
        </w:rPr>
        <w:t xml:space="preserve">EDITAL PROEXC Nº </w:t>
      </w:r>
      <w:r>
        <w:rPr>
          <w:b/>
          <w:color w:val="FF0000"/>
        </w:rPr>
        <w:t>XX</w:t>
      </w:r>
      <w:r>
        <w:rPr>
          <w:b/>
        </w:rPr>
        <w:t xml:space="preserve">, DE </w:t>
      </w:r>
      <w:r>
        <w:rPr>
          <w:b/>
          <w:color w:val="FF0000"/>
        </w:rPr>
        <w:t>XX</w:t>
      </w:r>
      <w:r>
        <w:rPr>
          <w:b/>
        </w:rPr>
        <w:t xml:space="preserve"> DE </w:t>
      </w:r>
      <w:r>
        <w:rPr>
          <w:b/>
          <w:color w:val="FF0000"/>
        </w:rPr>
        <w:t>XXXXXXX</w:t>
      </w:r>
      <w:r>
        <w:rPr>
          <w:b/>
        </w:rPr>
        <w:t xml:space="preserve"> DE 202</w:t>
      </w:r>
      <w:r>
        <w:rPr>
          <w:b/>
          <w:color w:val="FF0000"/>
        </w:rPr>
        <w:t>X</w:t>
      </w:r>
      <w:r>
        <w:rPr>
          <w:b/>
        </w:rPr>
        <w:t>.</w:t>
      </w:r>
    </w:p>
    <w:p w:rsidR="00285615" w:rsidRDefault="00285615">
      <w:pPr>
        <w:spacing w:line="276" w:lineRule="auto"/>
        <w:ind w:right="63"/>
        <w:jc w:val="center"/>
        <w:rPr>
          <w:b/>
        </w:rPr>
      </w:pPr>
    </w:p>
    <w:p w:rsidR="00285615" w:rsidRDefault="008C0178">
      <w:pPr>
        <w:keepNext/>
        <w:keepLines/>
        <w:spacing w:line="276" w:lineRule="auto"/>
        <w:ind w:hanging="10"/>
        <w:jc w:val="center"/>
        <w:rPr>
          <w:b/>
        </w:rPr>
      </w:pPr>
      <w:r>
        <w:rPr>
          <w:b/>
        </w:rPr>
        <w:t>SELEÇÃO SIMPLIFICADA DE BOLSISTA PARA PROJETO DE EXTENSÃO E CULTURA</w:t>
      </w:r>
    </w:p>
    <w:p w:rsidR="00285615" w:rsidRDefault="00285615">
      <w:pPr>
        <w:keepNext/>
        <w:keepLines/>
        <w:spacing w:line="276" w:lineRule="auto"/>
        <w:ind w:hanging="10"/>
        <w:jc w:val="center"/>
        <w:rPr>
          <w:b/>
          <w:highlight w:val="yellow"/>
        </w:rPr>
      </w:pPr>
    </w:p>
    <w:p w:rsidR="00285615" w:rsidRDefault="008C017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A Direção </w:t>
      </w:r>
      <w:r>
        <w:rPr>
          <w:color w:val="FF0000"/>
        </w:rPr>
        <w:t>xxxxxx</w:t>
      </w:r>
      <w:r>
        <w:t xml:space="preserve"> do </w:t>
      </w:r>
      <w:r>
        <w:rPr>
          <w:i/>
        </w:rPr>
        <w:t>Campus</w:t>
      </w:r>
      <w:r>
        <w:t xml:space="preserve"> </w:t>
      </w:r>
      <w:r>
        <w:rPr>
          <w:color w:val="FF0000"/>
        </w:rPr>
        <w:t>xxxxx</w:t>
      </w:r>
      <w:r>
        <w:t xml:space="preserve"> do Instituto Federal de Educação, Ciência e Tecnologia da Paraíba - IFPB, no uso de suas atribuições, torna público o presente edital que visa a seleção de bolsistas para atuarem em projetos de extensão e cultura, aprovado conforme PARECER n. 00158/2021/C</w:t>
      </w:r>
      <w:r>
        <w:t>OORD/PFIFPARAÍBA/PGF/AGU, nos termos aqui estabelecidos.</w:t>
      </w:r>
    </w:p>
    <w:p w:rsidR="00285615" w:rsidRDefault="00285615">
      <w:pPr>
        <w:spacing w:line="276" w:lineRule="auto"/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0" w:firstLine="0"/>
      </w:pPr>
      <w:r>
        <w:rPr>
          <w:b/>
        </w:rPr>
        <w:t>DAS DISPOSIÇÕES INICIAIS</w:t>
      </w:r>
    </w:p>
    <w:p w:rsidR="00285615" w:rsidRDefault="00285615">
      <w:pPr>
        <w:widowControl w:val="0"/>
        <w:tabs>
          <w:tab w:val="left" w:pos="567"/>
        </w:tabs>
        <w:spacing w:after="60" w:line="276" w:lineRule="auto"/>
      </w:pPr>
    </w:p>
    <w:p w:rsidR="00285615" w:rsidRDefault="008C0178">
      <w:pPr>
        <w:widowControl w:val="0"/>
        <w:numPr>
          <w:ilvl w:val="1"/>
          <w:numId w:val="10"/>
        </w:numPr>
        <w:tabs>
          <w:tab w:val="left" w:pos="567"/>
        </w:tabs>
        <w:spacing w:after="60" w:line="276" w:lineRule="auto"/>
        <w:ind w:left="0" w:firstLine="0"/>
      </w:pPr>
      <w:r>
        <w:t xml:space="preserve">O presente edital tem como finalidade selecionar bolsistas, discentes e colaboradores externos, para atuarem em projetos de extensão e cultura aprovados no </w:t>
      </w:r>
      <w:r>
        <w:rPr>
          <w:color w:val="FF0000"/>
        </w:rPr>
        <w:t>Edital nº XX/202</w:t>
      </w:r>
      <w:r>
        <w:rPr>
          <w:color w:val="FF0000"/>
        </w:rPr>
        <w:t>X-XXXX/IFPB</w:t>
      </w:r>
      <w:r>
        <w:t xml:space="preserve"> </w:t>
      </w:r>
    </w:p>
    <w:p w:rsidR="00285615" w:rsidRDefault="008C0178">
      <w:pPr>
        <w:widowControl w:val="0"/>
        <w:numPr>
          <w:ilvl w:val="1"/>
          <w:numId w:val="10"/>
        </w:numPr>
        <w:tabs>
          <w:tab w:val="left" w:pos="567"/>
        </w:tabs>
        <w:spacing w:after="60" w:line="276" w:lineRule="auto"/>
        <w:ind w:left="0" w:firstLine="0"/>
      </w:pPr>
      <w:r>
        <w:t xml:space="preserve">O processo seletivo será organizado pela Diretoria de Extensão e Cultura do </w:t>
      </w:r>
      <w:r>
        <w:rPr>
          <w:i/>
        </w:rPr>
        <w:t>Campus</w:t>
      </w:r>
      <w:r>
        <w:t xml:space="preserve"> (ou setor equivalente), juntamente com o(s) coordenador(es) da proposta aprovada, respeitando os princípios da legalidade, impessoalidade, moralidade, publicida</w:t>
      </w:r>
      <w:r>
        <w:t>de e eficiência.</w:t>
      </w:r>
    </w:p>
    <w:p w:rsidR="00285615" w:rsidRDefault="008C0178">
      <w:pPr>
        <w:widowControl w:val="0"/>
        <w:numPr>
          <w:ilvl w:val="1"/>
          <w:numId w:val="10"/>
        </w:numPr>
        <w:tabs>
          <w:tab w:val="left" w:pos="567"/>
        </w:tabs>
        <w:spacing w:after="60" w:line="276" w:lineRule="auto"/>
        <w:ind w:left="0" w:firstLine="0"/>
      </w:pPr>
      <w:r>
        <w:t>A seleção de bolsista tem como objetivo:</w:t>
      </w:r>
    </w:p>
    <w:p w:rsidR="00285615" w:rsidRDefault="008C0178">
      <w:pPr>
        <w:widowControl w:val="0"/>
        <w:numPr>
          <w:ilvl w:val="0"/>
          <w:numId w:val="6"/>
        </w:numPr>
        <w:tabs>
          <w:tab w:val="left" w:pos="567"/>
        </w:tabs>
        <w:spacing w:after="60" w:line="276" w:lineRule="auto"/>
        <w:ind w:left="0" w:firstLine="0"/>
      </w:pPr>
      <w:r>
        <w:t>Democratizar a inserção de bolsistas nas ações de extensão e cultura;</w:t>
      </w:r>
    </w:p>
    <w:p w:rsidR="00285615" w:rsidRDefault="008C0178">
      <w:pPr>
        <w:widowControl w:val="0"/>
        <w:numPr>
          <w:ilvl w:val="0"/>
          <w:numId w:val="6"/>
        </w:numPr>
        <w:tabs>
          <w:tab w:val="left" w:pos="567"/>
        </w:tabs>
        <w:spacing w:after="60" w:line="276" w:lineRule="auto"/>
        <w:ind w:left="0" w:firstLine="0"/>
      </w:pPr>
      <w:r>
        <w:t xml:space="preserve">Promover a participação de </w:t>
      </w:r>
      <w:r>
        <w:rPr>
          <w:color w:val="FF0000"/>
        </w:rPr>
        <w:t>discentes e colaboradores externos</w:t>
      </w:r>
      <w:r>
        <w:rPr>
          <w:color w:val="FF0000"/>
          <w:highlight w:val="white"/>
        </w:rPr>
        <w:t>,</w:t>
      </w:r>
      <w:r>
        <w:rPr>
          <w:highlight w:val="white"/>
        </w:rPr>
        <w:t xml:space="preserve"> </w:t>
      </w:r>
      <w:r>
        <w:t>em projetos de extensão e cultura, possibilitando a vivência dos conhecimentos aprendidos e favorecendo o compartilhamento de saberes entre o IFPB e a comunidade;</w:t>
      </w:r>
    </w:p>
    <w:p w:rsidR="00285615" w:rsidRDefault="008C0178">
      <w:pPr>
        <w:widowControl w:val="0"/>
        <w:numPr>
          <w:ilvl w:val="0"/>
          <w:numId w:val="6"/>
        </w:numPr>
        <w:tabs>
          <w:tab w:val="left" w:pos="567"/>
        </w:tabs>
        <w:spacing w:after="60" w:line="276" w:lineRule="auto"/>
        <w:ind w:left="0" w:firstLine="0"/>
      </w:pPr>
      <w:r>
        <w:t>Estimular e incentivar o protagonismo estudantil e das lideranças comunitárias nos território</w:t>
      </w:r>
      <w:r>
        <w:t>s de abrangência do projeto;</w:t>
      </w:r>
    </w:p>
    <w:p w:rsidR="00285615" w:rsidRDefault="008C0178">
      <w:pPr>
        <w:widowControl w:val="0"/>
        <w:numPr>
          <w:ilvl w:val="0"/>
          <w:numId w:val="6"/>
        </w:numPr>
        <w:tabs>
          <w:tab w:val="left" w:pos="567"/>
        </w:tabs>
        <w:spacing w:line="276" w:lineRule="auto"/>
        <w:ind w:left="0" w:firstLine="0"/>
      </w:pPr>
      <w:r>
        <w:t>Contribuir na formação cidadã do educando por meio das experiências adquiridas nos contextos sociais.</w:t>
      </w:r>
    </w:p>
    <w:p w:rsidR="00285615" w:rsidRDefault="008C0178">
      <w:pPr>
        <w:widowControl w:val="0"/>
        <w:numPr>
          <w:ilvl w:val="0"/>
          <w:numId w:val="6"/>
        </w:numPr>
        <w:tabs>
          <w:tab w:val="left" w:pos="567"/>
        </w:tabs>
        <w:spacing w:after="60" w:line="276" w:lineRule="auto"/>
        <w:ind w:left="0" w:firstLine="0"/>
      </w:pPr>
      <w:r>
        <w:t>Fortalecer as relações do IFPB com os parceiros sociais e as comunidades beneficiárias do projeto;</w:t>
      </w:r>
    </w:p>
    <w:p w:rsidR="00285615" w:rsidRDefault="008C0178">
      <w:pPr>
        <w:widowControl w:val="0"/>
        <w:numPr>
          <w:ilvl w:val="0"/>
          <w:numId w:val="6"/>
        </w:numPr>
        <w:tabs>
          <w:tab w:val="left" w:pos="567"/>
        </w:tabs>
        <w:spacing w:after="60" w:line="276" w:lineRule="auto"/>
        <w:ind w:left="0" w:firstLine="0"/>
      </w:pPr>
      <w:r>
        <w:t xml:space="preserve">Contribuir no processo de </w:t>
      </w:r>
      <w:r>
        <w:t>transformação social.</w:t>
      </w:r>
    </w:p>
    <w:p w:rsidR="00285615" w:rsidRDefault="00285615">
      <w:pPr>
        <w:spacing w:line="276" w:lineRule="auto"/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708" w:hanging="708"/>
      </w:pPr>
      <w:r>
        <w:rPr>
          <w:b/>
        </w:rPr>
        <w:t>DO CRONOGRAMA</w:t>
      </w:r>
    </w:p>
    <w:p w:rsidR="00285615" w:rsidRDefault="008C0178">
      <w:pPr>
        <w:rPr>
          <w:sz w:val="16"/>
          <w:szCs w:val="16"/>
        </w:rPr>
      </w:pPr>
      <w:r>
        <w:rPr>
          <w:b/>
        </w:rPr>
        <w:t xml:space="preserve"> </w:t>
      </w:r>
    </w:p>
    <w:tbl>
      <w:tblPr>
        <w:tblStyle w:val="aff"/>
        <w:tblW w:w="82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95"/>
        <w:gridCol w:w="2955"/>
      </w:tblGrid>
      <w:tr w:rsidR="00285615">
        <w:trPr>
          <w:trHeight w:val="379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5615" w:rsidRDefault="008C0178">
            <w:pPr>
              <w:ind w:right="5"/>
              <w:jc w:val="center"/>
            </w:pPr>
            <w:r>
              <w:rPr>
                <w:b/>
                <w:sz w:val="20"/>
                <w:szCs w:val="20"/>
              </w:rPr>
              <w:t xml:space="preserve">EVENTO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5615" w:rsidRDefault="008C0178">
            <w:pPr>
              <w:ind w:right="5"/>
              <w:jc w:val="center"/>
            </w:pPr>
            <w:r>
              <w:rPr>
                <w:b/>
                <w:sz w:val="20"/>
                <w:szCs w:val="20"/>
              </w:rPr>
              <w:t xml:space="preserve">DATA / PERÍODO </w:t>
            </w:r>
          </w:p>
        </w:tc>
      </w:tr>
      <w:tr w:rsidR="00285615">
        <w:trPr>
          <w:trHeight w:val="35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Publicação do Edital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4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xx de xxxx de 202x</w:t>
            </w:r>
          </w:p>
        </w:tc>
      </w:tr>
      <w:tr w:rsidR="00285615">
        <w:trPr>
          <w:trHeight w:val="35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Impugnação do Edital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4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xx de xxxx de 202x</w:t>
            </w:r>
          </w:p>
        </w:tc>
      </w:tr>
      <w:tr w:rsidR="00285615">
        <w:trPr>
          <w:trHeight w:val="35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9"/>
              <w:jc w:val="center"/>
            </w:pPr>
            <w:r>
              <w:rPr>
                <w:sz w:val="20"/>
                <w:szCs w:val="20"/>
              </w:rPr>
              <w:t>Inscrições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4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0"/>
                <w:szCs w:val="20"/>
              </w:rPr>
              <w:t>xx a xx de xxxx de 202x</w:t>
            </w:r>
          </w:p>
        </w:tc>
      </w:tr>
      <w:tr w:rsidR="00285615">
        <w:trPr>
          <w:trHeight w:val="35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6"/>
              <w:jc w:val="center"/>
            </w:pPr>
            <w:r>
              <w:rPr>
                <w:sz w:val="20"/>
                <w:szCs w:val="20"/>
              </w:rPr>
              <w:t>Período de seleção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4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xx de xxxx de 202x</w:t>
            </w:r>
          </w:p>
        </w:tc>
      </w:tr>
      <w:tr w:rsidR="00285615">
        <w:trPr>
          <w:trHeight w:val="35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7"/>
              <w:jc w:val="center"/>
            </w:pPr>
            <w:r>
              <w:rPr>
                <w:sz w:val="20"/>
                <w:szCs w:val="20"/>
              </w:rPr>
              <w:t>Resultado Preliminar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4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xx de xxxx de 202x</w:t>
            </w:r>
          </w:p>
        </w:tc>
      </w:tr>
      <w:tr w:rsidR="00285615">
        <w:trPr>
          <w:trHeight w:val="351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7"/>
              <w:jc w:val="center"/>
            </w:pPr>
            <w:r>
              <w:rPr>
                <w:sz w:val="20"/>
                <w:szCs w:val="20"/>
              </w:rPr>
              <w:t>Interposição de Recursos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4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xx de xxxx de 202x</w:t>
            </w:r>
          </w:p>
        </w:tc>
      </w:tr>
      <w:tr w:rsidR="00285615">
        <w:trPr>
          <w:trHeight w:val="350"/>
          <w:jc w:val="center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6"/>
              <w:jc w:val="center"/>
            </w:pPr>
            <w:r>
              <w:rPr>
                <w:sz w:val="20"/>
                <w:szCs w:val="20"/>
              </w:rPr>
              <w:t>Resultado Final da Avaliação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615" w:rsidRDefault="008C0178">
            <w:pPr>
              <w:ind w:right="4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xx de xxxx de 202x</w:t>
            </w:r>
          </w:p>
        </w:tc>
      </w:tr>
    </w:tbl>
    <w:p w:rsidR="00285615" w:rsidRDefault="00285615"/>
    <w:p w:rsidR="00285615" w:rsidRDefault="008C0178">
      <w:pPr>
        <w:numPr>
          <w:ilvl w:val="1"/>
          <w:numId w:val="8"/>
        </w:numPr>
        <w:spacing w:line="276" w:lineRule="auto"/>
        <w:ind w:left="0" w:firstLine="0"/>
      </w:pPr>
      <w:r>
        <w:lastRenderedPageBreak/>
        <w:t xml:space="preserve">A interposição de recurso em face do Resultado Preliminar deverá ser realizada por meio do </w:t>
      </w:r>
      <w:r>
        <w:rPr>
          <w:color w:val="FF0000"/>
        </w:rPr>
        <w:t xml:space="preserve">xxxxxx (a ser definido pelo </w:t>
      </w:r>
      <w:r>
        <w:rPr>
          <w:i/>
          <w:color w:val="FF0000"/>
        </w:rPr>
        <w:t>campus</w:t>
      </w:r>
      <w:r>
        <w:rPr>
          <w:color w:val="FF0000"/>
        </w:rPr>
        <w:t xml:space="preserve">) </w:t>
      </w:r>
      <w:r>
        <w:t>informando a motivação, exclusivamente no prazo definido no cronograma. Não serão apreciados recursos intempestivos e ou sem fundamentação.</w:t>
      </w:r>
    </w:p>
    <w:p w:rsidR="00285615" w:rsidRDefault="00285615"/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708" w:hanging="708"/>
      </w:pPr>
      <w:r>
        <w:rPr>
          <w:b/>
        </w:rPr>
        <w:t>DOS REQUISITOS</w:t>
      </w:r>
    </w:p>
    <w:p w:rsidR="00285615" w:rsidRDefault="00285615">
      <w:pPr>
        <w:spacing w:after="60" w:line="276" w:lineRule="auto"/>
        <w:ind w:left="360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rPr>
          <w:b/>
        </w:rPr>
        <w:t>Para se candidatar a vaga de discente bolsista, o interessado deve:</w:t>
      </w:r>
    </w:p>
    <w:p w:rsidR="00285615" w:rsidRDefault="008C0178">
      <w:pPr>
        <w:widowControl w:val="0"/>
        <w:numPr>
          <w:ilvl w:val="0"/>
          <w:numId w:val="3"/>
        </w:numPr>
        <w:tabs>
          <w:tab w:val="left" w:pos="461"/>
        </w:tabs>
        <w:spacing w:line="276" w:lineRule="auto"/>
        <w:ind w:left="0" w:firstLine="0"/>
      </w:pPr>
      <w:r>
        <w:t xml:space="preserve">Estar regularmente matriculado </w:t>
      </w:r>
      <w:r>
        <w:t xml:space="preserve">em qualquer modalidade de ensino no </w:t>
      </w:r>
      <w:r>
        <w:rPr>
          <w:i/>
        </w:rPr>
        <w:t xml:space="preserve">campus </w:t>
      </w:r>
      <w:r>
        <w:t>do IFPB onde será desenvolvido o Projeto de Extensão e Cultura;</w:t>
      </w:r>
    </w:p>
    <w:p w:rsidR="00285615" w:rsidRDefault="008C0178">
      <w:pPr>
        <w:widowControl w:val="0"/>
        <w:numPr>
          <w:ilvl w:val="0"/>
          <w:numId w:val="3"/>
        </w:numPr>
        <w:tabs>
          <w:tab w:val="left" w:pos="461"/>
        </w:tabs>
        <w:spacing w:line="276" w:lineRule="auto"/>
        <w:ind w:left="0" w:firstLine="0"/>
      </w:pPr>
      <w:r>
        <w:t>Estar em dia com suas obrigações acadêmicas, ter disponibilidade de 10 (dez) horas semanais para dedicar-se às atividades previstas no Projeto de Ext</w:t>
      </w:r>
      <w:r>
        <w:t>ensão e Cultura, sem prejuízo das demais atividades;</w:t>
      </w:r>
    </w:p>
    <w:p w:rsidR="00285615" w:rsidRDefault="008C0178">
      <w:pPr>
        <w:widowControl w:val="0"/>
        <w:numPr>
          <w:ilvl w:val="0"/>
          <w:numId w:val="3"/>
        </w:numPr>
        <w:tabs>
          <w:tab w:val="left" w:pos="461"/>
        </w:tabs>
        <w:spacing w:after="60" w:line="276" w:lineRule="auto"/>
        <w:ind w:left="0" w:firstLine="0"/>
      </w:pPr>
      <w:r>
        <w:t>Não ser beneficiário de bolsa de outros programas de Ensino, de Pesquisa e de Extensão e Cultura, pagas com recursos da dotação orçamentária do IFPB. Esta vedação não se aplica quanto ao recebimento de a</w:t>
      </w:r>
      <w:r>
        <w:t>uxílios oriundos da assistência estudantil, que podem ser pagos concomitantemente às bolsas.</w:t>
      </w:r>
    </w:p>
    <w:p w:rsidR="00285615" w:rsidRDefault="00285615">
      <w:pPr>
        <w:widowControl w:val="0"/>
        <w:tabs>
          <w:tab w:val="left" w:pos="461"/>
        </w:tabs>
        <w:spacing w:after="60" w:line="276" w:lineRule="auto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850" w:hanging="850"/>
      </w:pPr>
      <w:r>
        <w:rPr>
          <w:b/>
        </w:rPr>
        <w:t>Para se candidatar a vaga de colaborador externo bolsista, o interessado deve:</w:t>
      </w:r>
    </w:p>
    <w:p w:rsidR="00285615" w:rsidRDefault="008C0178">
      <w:pPr>
        <w:widowControl w:val="0"/>
        <w:numPr>
          <w:ilvl w:val="0"/>
          <w:numId w:val="7"/>
        </w:numPr>
        <w:tabs>
          <w:tab w:val="left" w:pos="461"/>
        </w:tabs>
        <w:spacing w:after="60" w:line="276" w:lineRule="auto"/>
        <w:ind w:left="0" w:firstLine="0"/>
      </w:pPr>
      <w:r>
        <w:t xml:space="preserve">Pertencer </w:t>
      </w:r>
      <w:r>
        <w:rPr>
          <w:highlight w:val="white"/>
        </w:rPr>
        <w:t>à comunidade ou território de atuação da proposta;</w:t>
      </w:r>
    </w:p>
    <w:p w:rsidR="00285615" w:rsidRDefault="008C0178">
      <w:pPr>
        <w:widowControl w:val="0"/>
        <w:numPr>
          <w:ilvl w:val="0"/>
          <w:numId w:val="7"/>
        </w:numPr>
        <w:tabs>
          <w:tab w:val="left" w:pos="461"/>
        </w:tabs>
        <w:spacing w:after="60" w:line="276" w:lineRule="auto"/>
        <w:ind w:left="0" w:firstLine="0"/>
      </w:pPr>
      <w:r>
        <w:t>Ter disponibilidade de 10 (dez) horas semanais para dedicar-se às atividades previstas no projeto;</w:t>
      </w:r>
    </w:p>
    <w:p w:rsidR="00285615" w:rsidRDefault="008C0178">
      <w:pPr>
        <w:widowControl w:val="0"/>
        <w:numPr>
          <w:ilvl w:val="0"/>
          <w:numId w:val="7"/>
        </w:numPr>
        <w:tabs>
          <w:tab w:val="left" w:pos="461"/>
        </w:tabs>
        <w:spacing w:line="276" w:lineRule="auto"/>
        <w:ind w:left="0" w:firstLine="0"/>
      </w:pPr>
      <w:r>
        <w:t>Não ser beneficiário de bolsa de outros programas de Ensino, de Pesquisa e de Extensão e Cultura, pagas com recursos da dotação orçamentária do IFPB.</w:t>
      </w:r>
    </w:p>
    <w:p w:rsidR="00285615" w:rsidRDefault="00285615">
      <w:pPr>
        <w:rPr>
          <w:b/>
          <w:highlight w:val="white"/>
        </w:rPr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708" w:hanging="708"/>
      </w:pPr>
      <w:r>
        <w:rPr>
          <w:b/>
        </w:rPr>
        <w:t>DAS AT</w:t>
      </w:r>
      <w:r>
        <w:rPr>
          <w:b/>
        </w:rPr>
        <w:t>RIBUIÇÕES</w:t>
      </w:r>
    </w:p>
    <w:p w:rsidR="00285615" w:rsidRDefault="00285615">
      <w:pPr>
        <w:spacing w:after="60" w:line="276" w:lineRule="auto"/>
        <w:ind w:left="360"/>
        <w:rPr>
          <w:b/>
        </w:rPr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708" w:hanging="708"/>
      </w:pPr>
      <w:r>
        <w:rPr>
          <w:b/>
        </w:rPr>
        <w:t>Atribuições do discente bolsista:</w:t>
      </w:r>
    </w:p>
    <w:p w:rsidR="00285615" w:rsidRDefault="008C0178">
      <w:pPr>
        <w:numPr>
          <w:ilvl w:val="0"/>
          <w:numId w:val="4"/>
        </w:numPr>
        <w:spacing w:line="276" w:lineRule="auto"/>
        <w:ind w:left="0" w:firstLine="0"/>
      </w:pPr>
      <w:r>
        <w:t>Participar da execução do projeto com dedicação de 10 (dez) horas semanais;</w:t>
      </w:r>
    </w:p>
    <w:p w:rsidR="00285615" w:rsidRDefault="008C0178">
      <w:pPr>
        <w:numPr>
          <w:ilvl w:val="0"/>
          <w:numId w:val="4"/>
        </w:numPr>
        <w:spacing w:line="276" w:lineRule="auto"/>
        <w:ind w:left="0" w:firstLine="0"/>
      </w:pPr>
      <w:r>
        <w:t>Cumprir com as atividades estabelecidas nas Metas/Atividades previstas na proposta, atendendo as solicitações do coordenador;</w:t>
      </w:r>
    </w:p>
    <w:p w:rsidR="00285615" w:rsidRDefault="008C0178">
      <w:pPr>
        <w:numPr>
          <w:ilvl w:val="0"/>
          <w:numId w:val="4"/>
        </w:numPr>
        <w:spacing w:line="276" w:lineRule="auto"/>
        <w:ind w:left="0" w:firstLine="0"/>
      </w:pPr>
      <w:r>
        <w:t>Providenc</w:t>
      </w:r>
      <w:r>
        <w:t>iar, preencher, assinar e entregar ao coordenador, mensalmente, as listas de frequência e ou relatórios de atividades desenvolvidas;</w:t>
      </w:r>
    </w:p>
    <w:p w:rsidR="00285615" w:rsidRDefault="008C0178">
      <w:pPr>
        <w:numPr>
          <w:ilvl w:val="0"/>
          <w:numId w:val="4"/>
        </w:numPr>
        <w:spacing w:line="276" w:lineRule="auto"/>
        <w:ind w:left="0" w:firstLine="0"/>
      </w:pPr>
      <w:r>
        <w:t>Não se afastar das atividades acadêmicas por mais de 30 (trinta) dias, durante a vigência do Projeto de Extensão e Cultura.</w:t>
      </w:r>
    </w:p>
    <w:p w:rsidR="00285615" w:rsidRDefault="008C0178">
      <w:pPr>
        <w:numPr>
          <w:ilvl w:val="0"/>
          <w:numId w:val="4"/>
        </w:numPr>
        <w:spacing w:line="276" w:lineRule="auto"/>
        <w:ind w:left="0" w:firstLine="0"/>
      </w:pPr>
      <w:r>
        <w:t>Comunicar ao coordenador do projeto qualquer impedimento de participação no projeto e execução das atividades;</w:t>
      </w:r>
    </w:p>
    <w:p w:rsidR="00285615" w:rsidRDefault="008C0178">
      <w:pPr>
        <w:numPr>
          <w:ilvl w:val="0"/>
          <w:numId w:val="4"/>
        </w:numPr>
        <w:spacing w:line="276" w:lineRule="auto"/>
        <w:ind w:left="0" w:firstLine="0"/>
      </w:pPr>
      <w:r>
        <w:t>Submeter, em conjunto com o coordenador, os resultados parciais e ou finais do projeto ao Encontro de Extensão e Cultura do IFPB (ENEX) e aos Ev</w:t>
      </w:r>
      <w:r>
        <w:t xml:space="preserve">entos de Extensão e Cultura do </w:t>
      </w:r>
      <w:r>
        <w:rPr>
          <w:i/>
        </w:rPr>
        <w:t>campus</w:t>
      </w:r>
      <w:r>
        <w:t xml:space="preserve"> ao qual o projeto está vinculado;</w:t>
      </w:r>
    </w:p>
    <w:p w:rsidR="00285615" w:rsidRDefault="008C0178">
      <w:pPr>
        <w:numPr>
          <w:ilvl w:val="0"/>
          <w:numId w:val="4"/>
        </w:numPr>
        <w:spacing w:after="60" w:line="276" w:lineRule="auto"/>
        <w:ind w:left="0" w:firstLine="0"/>
      </w:pPr>
      <w:r>
        <w:t>Elaborar, em conjunto com o coordenador, um trabalho acadêmico sobre o tema do Projeto de Extensão e Cultura e submetê-lo à Revista PRÁXIS: saberes da extensão, em até 60 (sessenta) dias após o prazo definido neste edital para a conclusão das atividades;</w:t>
      </w:r>
    </w:p>
    <w:p w:rsidR="00285615" w:rsidRDefault="00285615">
      <w:pPr>
        <w:spacing w:after="60" w:line="276" w:lineRule="auto"/>
      </w:pPr>
    </w:p>
    <w:p w:rsidR="00285615" w:rsidRDefault="008C0178">
      <w:pPr>
        <w:numPr>
          <w:ilvl w:val="0"/>
          <w:numId w:val="4"/>
        </w:numPr>
        <w:spacing w:after="60" w:line="276" w:lineRule="auto"/>
        <w:ind w:left="0" w:firstLine="0"/>
      </w:pPr>
      <w:r>
        <w:lastRenderedPageBreak/>
        <w:t>Citar nas publicações acadêmicas, peças gráficas, audiovisuais e redes sociais, obrigatoriamente, o apoio da PROEXC do IFPB.</w:t>
      </w:r>
    </w:p>
    <w:p w:rsidR="00285615" w:rsidRDefault="00285615">
      <w:pPr>
        <w:spacing w:after="60" w:line="276" w:lineRule="auto"/>
        <w:ind w:left="360"/>
        <w:rPr>
          <w:b/>
        </w:rPr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708" w:hanging="708"/>
      </w:pPr>
      <w:r>
        <w:rPr>
          <w:b/>
        </w:rPr>
        <w:t>Atribuições do colaborador externo bolsista:</w:t>
      </w:r>
    </w:p>
    <w:p w:rsidR="00285615" w:rsidRDefault="008C0178">
      <w:pPr>
        <w:numPr>
          <w:ilvl w:val="0"/>
          <w:numId w:val="9"/>
        </w:numPr>
        <w:spacing w:line="276" w:lineRule="auto"/>
        <w:ind w:left="0" w:firstLine="0"/>
      </w:pPr>
      <w:r>
        <w:t>Executar o Projeto de Extensão de acordo com as Metas/Atividades previstas na propost</w:t>
      </w:r>
      <w:r>
        <w:t>a e atender às solicitações do coordenador;</w:t>
      </w:r>
    </w:p>
    <w:p w:rsidR="00285615" w:rsidRDefault="008C0178">
      <w:pPr>
        <w:numPr>
          <w:ilvl w:val="0"/>
          <w:numId w:val="9"/>
        </w:numPr>
        <w:spacing w:line="276" w:lineRule="auto"/>
        <w:ind w:left="0" w:firstLine="0"/>
      </w:pPr>
      <w:r>
        <w:t>Providenciar, preencher, assinar e entregar ao coordenador, mensalmente, as listas de frequência e ou relatórios de atividades desenvolvidas;</w:t>
      </w:r>
    </w:p>
    <w:p w:rsidR="00285615" w:rsidRDefault="008C0178">
      <w:pPr>
        <w:numPr>
          <w:ilvl w:val="0"/>
          <w:numId w:val="9"/>
        </w:numPr>
        <w:spacing w:line="276" w:lineRule="auto"/>
        <w:ind w:left="0" w:firstLine="0"/>
      </w:pPr>
      <w:r>
        <w:t>Não se afastar das atividades durante a vigência do Projeto de Extensã</w:t>
      </w:r>
      <w:r>
        <w:t>o;</w:t>
      </w:r>
    </w:p>
    <w:p w:rsidR="00285615" w:rsidRDefault="008C0178">
      <w:pPr>
        <w:numPr>
          <w:ilvl w:val="0"/>
          <w:numId w:val="9"/>
        </w:numPr>
        <w:spacing w:line="276" w:lineRule="auto"/>
        <w:ind w:left="0" w:firstLine="0"/>
      </w:pPr>
      <w:r>
        <w:rPr>
          <w:highlight w:val="white"/>
        </w:rPr>
        <w:t>Articular e mobilizar a comunidade beneficiária para participação efetiva nas atividades do projeto;</w:t>
      </w:r>
    </w:p>
    <w:p w:rsidR="00285615" w:rsidRDefault="008C0178">
      <w:pPr>
        <w:numPr>
          <w:ilvl w:val="0"/>
          <w:numId w:val="9"/>
        </w:numPr>
        <w:spacing w:line="276" w:lineRule="auto"/>
        <w:ind w:left="0" w:firstLine="0"/>
      </w:pPr>
      <w:r>
        <w:rPr>
          <w:highlight w:val="white"/>
        </w:rPr>
        <w:t>Ter papel de protagonista explicitado no escopo da proposta, sem gerar vínculos empregatícios com o IFPB.</w:t>
      </w:r>
    </w:p>
    <w:p w:rsidR="00285615" w:rsidRDefault="008C0178">
      <w:pPr>
        <w:numPr>
          <w:ilvl w:val="0"/>
          <w:numId w:val="9"/>
        </w:numPr>
        <w:spacing w:line="276" w:lineRule="auto"/>
        <w:ind w:left="0" w:firstLine="0"/>
      </w:pPr>
      <w:r>
        <w:t>Submeter, em conjunto com o coordenador, os re</w:t>
      </w:r>
      <w:r>
        <w:t xml:space="preserve">sultados parciais e ou finais do projeto ao Encontro de Extensão e Cultura do IFPB (ENEX) e aos Eventos de Extensão e Cultura do </w:t>
      </w:r>
      <w:r>
        <w:rPr>
          <w:i/>
        </w:rPr>
        <w:t>campus</w:t>
      </w:r>
      <w:r>
        <w:t xml:space="preserve"> ao qual o projeto está vinculado;</w:t>
      </w:r>
    </w:p>
    <w:p w:rsidR="00285615" w:rsidRDefault="008C0178">
      <w:pPr>
        <w:numPr>
          <w:ilvl w:val="0"/>
          <w:numId w:val="9"/>
        </w:numPr>
        <w:spacing w:line="276" w:lineRule="auto"/>
        <w:ind w:left="0" w:firstLine="0"/>
      </w:pPr>
      <w:r>
        <w:t>Elaborar, em conjunto com o coordenador, um trabalho acadêmico sobre o tema do Projeto</w:t>
      </w:r>
      <w:r>
        <w:t xml:space="preserve"> de Extensão e Cultura e submetê-lo à Revista PRÁXIS: saberes da extensão, podendo também realizar publicações em outros periódicos e eventos locais, regionais, nacionais e internacionais, desde que apresente a respectiva comprovação;</w:t>
      </w:r>
    </w:p>
    <w:p w:rsidR="00285615" w:rsidRDefault="008C0178">
      <w:pPr>
        <w:numPr>
          <w:ilvl w:val="0"/>
          <w:numId w:val="9"/>
        </w:numPr>
        <w:spacing w:after="60" w:line="276" w:lineRule="auto"/>
        <w:ind w:left="0" w:firstLine="0"/>
      </w:pPr>
      <w:r>
        <w:t>Citar nas publicações</w:t>
      </w:r>
      <w:r>
        <w:t xml:space="preserve"> acadêmicas, peças gráficas, audiovisuais e redes sociais, obrigatoriamente, o apoio da PROEXC do IFPB.</w:t>
      </w:r>
    </w:p>
    <w:p w:rsidR="00285615" w:rsidRDefault="00285615">
      <w:pPr>
        <w:spacing w:after="60" w:line="276" w:lineRule="auto"/>
        <w:rPr>
          <w:b/>
        </w:rPr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708" w:hanging="708"/>
      </w:pPr>
      <w:r>
        <w:rPr>
          <w:b/>
        </w:rPr>
        <w:t>DAS BOLSAS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 xml:space="preserve">As bolsas concedidas serão pagas </w:t>
      </w:r>
      <w:r>
        <w:rPr>
          <w:highlight w:val="white"/>
        </w:rPr>
        <w:t>mensalmente de acordo com os valores e carga horária discriminados na tabela abaixo:</w:t>
      </w:r>
    </w:p>
    <w:p w:rsidR="00285615" w:rsidRDefault="008C0178">
      <w:pPr>
        <w:spacing w:after="6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Tabela 1. Valores das bolsas e requisitos</w:t>
      </w:r>
    </w:p>
    <w:tbl>
      <w:tblPr>
        <w:tblStyle w:val="aff0"/>
        <w:tblW w:w="82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3990"/>
        <w:gridCol w:w="1545"/>
        <w:gridCol w:w="1515"/>
      </w:tblGrid>
      <w:tr w:rsidR="00285615">
        <w:trPr>
          <w:trHeight w:val="374"/>
          <w:jc w:val="center"/>
        </w:trPr>
        <w:tc>
          <w:tcPr>
            <w:tcW w:w="1215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Modalidade</w:t>
            </w:r>
          </w:p>
        </w:tc>
        <w:tc>
          <w:tcPr>
            <w:tcW w:w="3990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1545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Carga horária semanal</w:t>
            </w:r>
          </w:p>
        </w:tc>
        <w:tc>
          <w:tcPr>
            <w:tcW w:w="1515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Valor</w:t>
            </w:r>
          </w:p>
        </w:tc>
      </w:tr>
      <w:tr w:rsidR="00285615">
        <w:trPr>
          <w:trHeight w:val="579"/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highlight w:val="white"/>
              </w:rPr>
              <w:t>Discente Graduação</w:t>
            </w: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ind w:left="60" w:right="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Discente regularmente matriculado em Curso Superior (presencial ou a distância) do IFPB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 (dez) horas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highlight w:val="white"/>
              </w:rPr>
              <w:t>R$ 500,00 (quinhentos reais)</w:t>
            </w:r>
          </w:p>
        </w:tc>
      </w:tr>
      <w:tr w:rsidR="00285615">
        <w:trPr>
          <w:trHeight w:val="650"/>
          <w:jc w:val="center"/>
        </w:trPr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highlight w:val="white"/>
              </w:rPr>
              <w:t>Discente Técnico</w:t>
            </w: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ind w:left="60" w:right="6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Discente regularmente matriculado em Curso Técnico (presencial ou a distância) Integrado ao Ensino Médio, Subsequente, FIC (a partir de 160h) ou PROEJA do IFPB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10 (dez) horas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highlight w:val="white"/>
              </w:rPr>
              <w:t>R$ 250,00 (duzentos e cinquenta reais)</w:t>
            </w:r>
          </w:p>
        </w:tc>
      </w:tr>
      <w:tr w:rsidR="00285615">
        <w:trPr>
          <w:trHeight w:val="65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Colaborador Externo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ind w:left="60" w:right="6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Parceiro social informal vinculado ao território de atuação do projeto, que presta apoio e colaboração na execução das atividades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(dez) horas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R$ 800,00</w:t>
            </w:r>
          </w:p>
          <w:p w:rsidR="00285615" w:rsidRDefault="008C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(oitocentos reais)</w:t>
            </w:r>
          </w:p>
        </w:tc>
      </w:tr>
    </w:tbl>
    <w:p w:rsidR="00285615" w:rsidRDefault="00285615">
      <w:pPr>
        <w:spacing w:after="60" w:line="276" w:lineRule="auto"/>
        <w:ind w:left="360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As bolsas concedidas visam promover a vivência dos conhecimentos aprendidos no decorrer da vida escolar, de modo a contribuir na sua formação acadêmica, além da sociabilidade a partir do desenvolvimento das ações de extensão e cultura.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O pagamento de bolsa</w:t>
      </w:r>
      <w:r>
        <w:t xml:space="preserve"> está condicionado à disponibilidade orçamentária e financeira do campus, caracterizando a seleção como expectativa de direito.</w:t>
      </w:r>
    </w:p>
    <w:p w:rsidR="00285615" w:rsidRDefault="00285615">
      <w:pPr>
        <w:spacing w:after="60" w:line="276" w:lineRule="auto"/>
        <w:ind w:left="360"/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708" w:hanging="708"/>
      </w:pPr>
      <w:r>
        <w:rPr>
          <w:b/>
        </w:rPr>
        <w:t>DAS VAGAS</w:t>
      </w:r>
    </w:p>
    <w:p w:rsidR="00285615" w:rsidRDefault="00285615">
      <w:pPr>
        <w:spacing w:after="60" w:line="276" w:lineRule="auto"/>
        <w:ind w:left="360"/>
        <w:rPr>
          <w:color w:val="FF0000"/>
        </w:rPr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Cada projeto aprovado será contemplado com o número de bolsas, conforme tabela a seguir:</w:t>
      </w:r>
    </w:p>
    <w:p w:rsidR="00285615" w:rsidRDefault="008C0178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Tabela 2. Das vagas</w:t>
      </w:r>
    </w:p>
    <w:tbl>
      <w:tblPr>
        <w:tblStyle w:val="aff1"/>
        <w:tblW w:w="77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6"/>
        <w:gridCol w:w="1772"/>
        <w:gridCol w:w="2524"/>
        <w:gridCol w:w="1514"/>
      </w:tblGrid>
      <w:tr w:rsidR="00285615">
        <w:trPr>
          <w:trHeight w:val="374"/>
          <w:jc w:val="center"/>
        </w:trPr>
        <w:tc>
          <w:tcPr>
            <w:tcW w:w="1945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do projeto</w:t>
            </w:r>
          </w:p>
        </w:tc>
        <w:tc>
          <w:tcPr>
            <w:tcW w:w="1772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2523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de vagas por modalidade </w:t>
            </w:r>
          </w:p>
        </w:tc>
        <w:tc>
          <w:tcPr>
            <w:tcW w:w="1514" w:type="dxa"/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Coordenador</w:t>
            </w:r>
          </w:p>
        </w:tc>
      </w:tr>
      <w:tr w:rsidR="00285615">
        <w:trPr>
          <w:trHeight w:val="579"/>
          <w:jc w:val="center"/>
        </w:trPr>
        <w:tc>
          <w:tcPr>
            <w:tcW w:w="19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xxxxxxx</w:t>
            </w:r>
          </w:p>
        </w:tc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ind w:left="60" w:right="60"/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Estar matriculado no curso superior de xxxxxxx</w:t>
            </w:r>
          </w:p>
        </w:tc>
        <w:tc>
          <w:tcPr>
            <w:tcW w:w="25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ex: 1 vaga discente graduação</w:t>
            </w:r>
          </w:p>
        </w:tc>
        <w:tc>
          <w:tcPr>
            <w:tcW w:w="15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xxxxx</w:t>
            </w:r>
          </w:p>
        </w:tc>
      </w:tr>
      <w:tr w:rsidR="00285615">
        <w:trPr>
          <w:trHeight w:val="650"/>
          <w:jc w:val="center"/>
        </w:trPr>
        <w:tc>
          <w:tcPr>
            <w:tcW w:w="19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xxxxxxx</w:t>
            </w:r>
          </w:p>
        </w:tc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ind w:left="60" w:right="60"/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Estar matriculado no curso técnico integrado de xxxxxxx</w:t>
            </w:r>
          </w:p>
        </w:tc>
        <w:tc>
          <w:tcPr>
            <w:tcW w:w="25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ex: 1 (ou 2) vaga discente técnico</w:t>
            </w:r>
          </w:p>
        </w:tc>
        <w:tc>
          <w:tcPr>
            <w:tcW w:w="15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xxxxx</w:t>
            </w:r>
          </w:p>
        </w:tc>
      </w:tr>
      <w:tr w:rsidR="00285615">
        <w:trPr>
          <w:trHeight w:val="650"/>
          <w:jc w:val="center"/>
        </w:trPr>
        <w:tc>
          <w:tcPr>
            <w:tcW w:w="19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xxxxxxx</w:t>
            </w:r>
          </w:p>
        </w:tc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ind w:left="60" w:right="60"/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ser parceiro social lotado na comunidade xxxxx</w:t>
            </w:r>
          </w:p>
        </w:tc>
        <w:tc>
          <w:tcPr>
            <w:tcW w:w="25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01</w:t>
            </w:r>
          </w:p>
        </w:tc>
        <w:tc>
          <w:tcPr>
            <w:tcW w:w="15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xxxxx</w:t>
            </w:r>
          </w:p>
        </w:tc>
      </w:tr>
      <w:tr w:rsidR="00285615">
        <w:trPr>
          <w:trHeight w:val="650"/>
          <w:jc w:val="center"/>
        </w:trPr>
        <w:tc>
          <w:tcPr>
            <w:tcW w:w="19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yyyyyyyy</w:t>
            </w:r>
          </w:p>
        </w:tc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ind w:left="60" w:right="60"/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pertencer a comunidade xxxxx de atuação da proposta</w:t>
            </w:r>
          </w:p>
        </w:tc>
        <w:tc>
          <w:tcPr>
            <w:tcW w:w="25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01</w:t>
            </w:r>
          </w:p>
        </w:tc>
        <w:tc>
          <w:tcPr>
            <w:tcW w:w="15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5615" w:rsidRDefault="008C0178">
            <w:pPr>
              <w:jc w:val="center"/>
              <w:rPr>
                <w:color w:val="FF0000"/>
                <w:sz w:val="18"/>
                <w:szCs w:val="18"/>
                <w:highlight w:val="white"/>
              </w:rPr>
            </w:pPr>
            <w:r>
              <w:rPr>
                <w:color w:val="FF0000"/>
                <w:sz w:val="18"/>
                <w:szCs w:val="18"/>
                <w:highlight w:val="white"/>
              </w:rPr>
              <w:t>xxxxx</w:t>
            </w:r>
          </w:p>
        </w:tc>
      </w:tr>
    </w:tbl>
    <w:p w:rsidR="00285615" w:rsidRDefault="00285615">
      <w:pPr>
        <w:jc w:val="left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Haverá lista de espera para todas as vagas. Em caso de cancelamento da bolsa, será convocado o próximo classificado para preenchimento da vaga.</w:t>
      </w:r>
    </w:p>
    <w:p w:rsidR="00285615" w:rsidRDefault="00285615">
      <w:pPr>
        <w:ind w:left="708" w:hanging="708"/>
        <w:jc w:val="left"/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708" w:hanging="708"/>
      </w:pPr>
      <w:r>
        <w:rPr>
          <w:b/>
        </w:rPr>
        <w:t>DA INSCRIÇÃO</w:t>
      </w:r>
    </w:p>
    <w:p w:rsidR="00285615" w:rsidRDefault="00285615">
      <w:pPr>
        <w:spacing w:after="60" w:line="276" w:lineRule="auto"/>
        <w:ind w:left="360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 xml:space="preserve">A inscrição será realizada no período informado no item 2, até as 23h59, por meio de  </w:t>
      </w:r>
      <w:r>
        <w:rPr>
          <w:color w:val="FF0000"/>
        </w:rPr>
        <w:t>xxxxxxxx (a ser definido pelo campus)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Não serão aceitas inscrições em desacordo com as normas e prazos deste edital.</w:t>
      </w:r>
    </w:p>
    <w:p w:rsidR="00285615" w:rsidRDefault="00285615">
      <w:pPr>
        <w:spacing w:after="60" w:line="276" w:lineRule="auto"/>
        <w:rPr>
          <w:highlight w:val="white"/>
        </w:rPr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708" w:hanging="708"/>
      </w:pPr>
      <w:r>
        <w:rPr>
          <w:b/>
        </w:rPr>
        <w:t xml:space="preserve">DA SELEÇÃO </w:t>
      </w:r>
    </w:p>
    <w:p w:rsidR="00285615" w:rsidRDefault="00285615">
      <w:pPr>
        <w:spacing w:after="60" w:line="276" w:lineRule="auto"/>
        <w:rPr>
          <w:color w:val="FF0000"/>
        </w:rPr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rPr>
          <w:color w:val="FF0000"/>
        </w:rPr>
        <w:t xml:space="preserve">As etapas, os critérios e os instrumentos de seleção serão definidos pelo Coordenador do Projeto, juntamente com a Diretoria </w:t>
      </w:r>
      <w:r>
        <w:rPr>
          <w:color w:val="FF0000"/>
        </w:rPr>
        <w:t>de Extensão e Cultura do campus (ou setor equivalente). Exemplo: entrevista, redação, dinâmica, prova, etc.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Havendo empate na classificação, serão considerados como critérios de desempate, na ordem:</w:t>
      </w:r>
    </w:p>
    <w:p w:rsidR="00285615" w:rsidRDefault="008C0178">
      <w:pPr>
        <w:numPr>
          <w:ilvl w:val="0"/>
          <w:numId w:val="5"/>
        </w:numPr>
        <w:spacing w:after="60" w:line="276" w:lineRule="auto"/>
        <w:ind w:left="0" w:firstLine="0"/>
        <w:rPr>
          <w:color w:val="FF0000"/>
        </w:rPr>
      </w:pPr>
      <w:r>
        <w:rPr>
          <w:color w:val="FF0000"/>
        </w:rPr>
        <w:t>Descrever a ordem dos critérios de desempate.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Todos os re</w:t>
      </w:r>
      <w:r>
        <w:t xml:space="preserve">sultados serão publicados no </w:t>
      </w:r>
      <w:r>
        <w:rPr>
          <w:color w:val="FF0000"/>
        </w:rPr>
        <w:t>xxxxxxx (informar local e link)</w:t>
      </w:r>
      <w:r>
        <w:t>, na página referente ao presente edital.</w:t>
      </w:r>
    </w:p>
    <w:p w:rsidR="00285615" w:rsidRDefault="00285615"/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120" w:line="276" w:lineRule="auto"/>
        <w:ind w:left="708" w:hanging="708"/>
      </w:pPr>
      <w:r>
        <w:rPr>
          <w:b/>
        </w:rPr>
        <w:lastRenderedPageBreak/>
        <w:t>DO CANCELAMENTO E DESLIGAMENTO</w:t>
      </w:r>
    </w:p>
    <w:p w:rsidR="00285615" w:rsidRDefault="00285615">
      <w:pPr>
        <w:spacing w:after="60" w:line="276" w:lineRule="auto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 xml:space="preserve">O cancelamento da bolsa ou desligamento do bolsista poderá ocorrer a qualquer momento, por solicitação do coordenador do </w:t>
      </w:r>
      <w:r>
        <w:t>projeto ou a pedido do próprio bolsista, com apresentação formal de motivos que ensejaram a solicitação.</w:t>
      </w:r>
    </w:p>
    <w:p w:rsidR="00285615" w:rsidRDefault="008C0178">
      <w:pPr>
        <w:spacing w:after="60" w:line="276" w:lineRule="auto"/>
      </w:pPr>
      <w:r>
        <w:rPr>
          <w:b/>
        </w:rPr>
        <w:t>9.1.1</w:t>
      </w:r>
      <w:r>
        <w:rPr>
          <w:b/>
        </w:rPr>
        <w:tab/>
      </w:r>
      <w:r>
        <w:t xml:space="preserve">As bolsas do </w:t>
      </w:r>
      <w:r>
        <w:rPr>
          <w:b/>
        </w:rPr>
        <w:t>discente</w:t>
      </w:r>
      <w:r>
        <w:t xml:space="preserve"> do IFPB, que trata este edital, serão canceladas nos seguintes casos:</w:t>
      </w:r>
    </w:p>
    <w:p w:rsidR="00285615" w:rsidRDefault="008C0178">
      <w:pPr>
        <w:numPr>
          <w:ilvl w:val="0"/>
          <w:numId w:val="1"/>
        </w:numPr>
        <w:spacing w:after="60" w:line="276" w:lineRule="auto"/>
        <w:ind w:left="0" w:firstLine="0"/>
      </w:pPr>
      <w:r>
        <w:t>Interrupção do projeto antes do final de sua execução, por solicitação do coordenador;</w:t>
      </w:r>
    </w:p>
    <w:p w:rsidR="00285615" w:rsidRDefault="008C0178">
      <w:pPr>
        <w:numPr>
          <w:ilvl w:val="0"/>
          <w:numId w:val="1"/>
        </w:numPr>
        <w:spacing w:after="60" w:line="276" w:lineRule="auto"/>
        <w:ind w:left="0" w:firstLine="0"/>
      </w:pPr>
      <w:r>
        <w:t>Conclusão do curso;</w:t>
      </w:r>
    </w:p>
    <w:p w:rsidR="00285615" w:rsidRDefault="008C0178">
      <w:pPr>
        <w:numPr>
          <w:ilvl w:val="0"/>
          <w:numId w:val="1"/>
        </w:numPr>
        <w:spacing w:after="60" w:line="276" w:lineRule="auto"/>
        <w:ind w:left="0" w:firstLine="0"/>
      </w:pPr>
      <w:r>
        <w:t>Trancamento de matrícula;</w:t>
      </w:r>
    </w:p>
    <w:p w:rsidR="00285615" w:rsidRDefault="008C0178">
      <w:pPr>
        <w:numPr>
          <w:ilvl w:val="0"/>
          <w:numId w:val="1"/>
        </w:numPr>
        <w:spacing w:after="60" w:line="276" w:lineRule="auto"/>
        <w:ind w:left="0" w:firstLine="0"/>
      </w:pPr>
      <w:r>
        <w:t>Desistência da bolsa ou do curso;</w:t>
      </w:r>
    </w:p>
    <w:p w:rsidR="00285615" w:rsidRDefault="008C0178">
      <w:pPr>
        <w:numPr>
          <w:ilvl w:val="0"/>
          <w:numId w:val="1"/>
        </w:numPr>
        <w:spacing w:after="60" w:line="276" w:lineRule="auto"/>
        <w:ind w:left="0" w:firstLine="0"/>
      </w:pPr>
      <w:r>
        <w:t>Abandono do curso;</w:t>
      </w:r>
    </w:p>
    <w:p w:rsidR="00285615" w:rsidRDefault="008C0178">
      <w:pPr>
        <w:numPr>
          <w:ilvl w:val="0"/>
          <w:numId w:val="1"/>
        </w:numPr>
        <w:spacing w:after="60" w:line="276" w:lineRule="auto"/>
        <w:ind w:left="0" w:firstLine="0"/>
      </w:pPr>
      <w:r>
        <w:t>Descumprimento dos regulamentos institucionais;</w:t>
      </w:r>
    </w:p>
    <w:p w:rsidR="00285615" w:rsidRDefault="008C0178">
      <w:pPr>
        <w:numPr>
          <w:ilvl w:val="0"/>
          <w:numId w:val="1"/>
        </w:numPr>
        <w:spacing w:after="60" w:line="276" w:lineRule="auto"/>
        <w:ind w:left="0" w:firstLine="0"/>
      </w:pPr>
      <w:r>
        <w:t>Por descumprimento das</w:t>
      </w:r>
      <w:r>
        <w:t xml:space="preserve"> regras estabelecidas neste edital;</w:t>
      </w:r>
    </w:p>
    <w:p w:rsidR="00285615" w:rsidRDefault="00285615">
      <w:pPr>
        <w:spacing w:after="60" w:line="276" w:lineRule="auto"/>
        <w:ind w:left="720"/>
        <w:rPr>
          <w:b/>
        </w:rPr>
      </w:pPr>
    </w:p>
    <w:p w:rsidR="00285615" w:rsidRDefault="008C0178">
      <w:pPr>
        <w:spacing w:after="60" w:line="276" w:lineRule="auto"/>
      </w:pPr>
      <w:r>
        <w:rPr>
          <w:b/>
        </w:rPr>
        <w:t>9.1.2</w:t>
      </w:r>
      <w:r>
        <w:rPr>
          <w:b/>
        </w:rPr>
        <w:tab/>
      </w:r>
      <w:r>
        <w:t xml:space="preserve">As bolsa do </w:t>
      </w:r>
      <w:r>
        <w:rPr>
          <w:b/>
        </w:rPr>
        <w:t>colaborador externo</w:t>
      </w:r>
      <w:r>
        <w:t>, que trata este edital, serão canceladas nos seguintes casos:</w:t>
      </w:r>
    </w:p>
    <w:p w:rsidR="00285615" w:rsidRDefault="008C0178">
      <w:pPr>
        <w:numPr>
          <w:ilvl w:val="0"/>
          <w:numId w:val="2"/>
        </w:numPr>
        <w:spacing w:after="60" w:line="276" w:lineRule="auto"/>
      </w:pPr>
      <w:r>
        <w:t>Interrupção do projeto antes do final de sua execução, por solicitação do coordenador;</w:t>
      </w:r>
    </w:p>
    <w:p w:rsidR="00285615" w:rsidRDefault="008C0178">
      <w:pPr>
        <w:numPr>
          <w:ilvl w:val="0"/>
          <w:numId w:val="2"/>
        </w:numPr>
        <w:spacing w:after="60" w:line="276" w:lineRule="auto"/>
      </w:pPr>
      <w:r>
        <w:t>Desistência ou abandono do projeto por parte do bolsista;</w:t>
      </w:r>
    </w:p>
    <w:p w:rsidR="00285615" w:rsidRDefault="008C0178">
      <w:pPr>
        <w:numPr>
          <w:ilvl w:val="0"/>
          <w:numId w:val="2"/>
        </w:numPr>
        <w:spacing w:after="60" w:line="276" w:lineRule="auto"/>
      </w:pPr>
      <w:r>
        <w:t>Descumprimento dos regulamentos institucionais;</w:t>
      </w:r>
    </w:p>
    <w:p w:rsidR="00285615" w:rsidRDefault="008C0178">
      <w:pPr>
        <w:numPr>
          <w:ilvl w:val="0"/>
          <w:numId w:val="2"/>
        </w:numPr>
        <w:spacing w:after="60" w:line="276" w:lineRule="auto"/>
      </w:pPr>
      <w:r>
        <w:t>Por descumprimento das regras estabelecidas neste edital;</w:t>
      </w:r>
    </w:p>
    <w:p w:rsidR="00285615" w:rsidRDefault="00285615">
      <w:pPr>
        <w:spacing w:after="60" w:line="276" w:lineRule="auto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Em caso de convocação de bolsista para preenchimento de vaga, deverá seguir a lista de clas</w:t>
      </w:r>
      <w:r>
        <w:t>sificação</w:t>
      </w:r>
    </w:p>
    <w:p w:rsidR="00285615" w:rsidRDefault="00285615">
      <w:pPr>
        <w:spacing w:after="60" w:line="276" w:lineRule="auto"/>
      </w:pPr>
    </w:p>
    <w:p w:rsidR="00285615" w:rsidRDefault="008C0178">
      <w:pPr>
        <w:widowControl w:val="0"/>
        <w:numPr>
          <w:ilvl w:val="0"/>
          <w:numId w:val="8"/>
        </w:numPr>
        <w:shd w:val="clear" w:color="auto" w:fill="D7E3BC"/>
        <w:spacing w:after="60" w:line="276" w:lineRule="auto"/>
        <w:ind w:left="0" w:firstLine="0"/>
      </w:pPr>
      <w:r>
        <w:rPr>
          <w:b/>
        </w:rPr>
        <w:t>DAS DISPOSIÇÕES FINAIS</w:t>
      </w:r>
    </w:p>
    <w:p w:rsidR="00285615" w:rsidRDefault="00285615">
      <w:pPr>
        <w:spacing w:after="60" w:line="276" w:lineRule="auto"/>
      </w:pP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É de responsabilidade do interessado o acompanhamento de todas as informações e publicações referentes a este edital.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A inscrição implicará a tácita aceitação dos prazos e condições estabelecidos neste edital, e do edital ao qual o projeto de extensão e cultura foi aprovado, dos quais o proponente não poderá alegar desconhecimento.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 xml:space="preserve">O </w:t>
      </w:r>
      <w:r>
        <w:rPr>
          <w:i/>
        </w:rPr>
        <w:t>campus</w:t>
      </w:r>
      <w:r>
        <w:t xml:space="preserve"> do IFPB não se responsabiliza p</w:t>
      </w:r>
      <w:r>
        <w:t>or submissão não recebida por motivo de ordem técnica dos computadores, falhas de comunicação, congestionamento das linhas de comunicação, bem como por quaisquer outros fatores que impossibilitem a transferência de dados.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Todas as informações prestadas pel</w:t>
      </w:r>
      <w:r>
        <w:t>o proponente são de sua total responsabilidade. A utilização de documentos ou informações falsas implicará na exclusão da proposta e apuração de responsabilidades.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A constatação de descumprimento de regras deste edital, assim como do edital ao qual o proje</w:t>
      </w:r>
      <w:r>
        <w:t>to de extensão e cultura foi aprovado, poderá acarretar na apuração de fatos e devolução dos valores financeiros recebidos.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lastRenderedPageBreak/>
        <w:t>O presente edital poderá ser revogado ou anulado a qualquer tempo, no todo ou em parte, por motivo de interesse público ou exigência</w:t>
      </w:r>
      <w:r>
        <w:t xml:space="preserve"> legal, sem que isso implique direito à indenização ou reclamação de qualquer natureza.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>As atividades propostas devem observar as orientações de medidas preventivas do Ministério da Saúde e da Organização Mundial da Saúde, de modo a resguardar a todos os e</w:t>
      </w:r>
      <w:r>
        <w:t xml:space="preserve">nvolvidos, com obrigatoriedade de aquisição/utilização dos equipamentos de proteção individual (EPI) necessários para as atividades presenciais, e ainda, respeitar as medidas de mobilidade urbana, condições sanitárias e epidemiológicas estabelecidas pelas </w:t>
      </w:r>
      <w:r>
        <w:t>autoridades federais, estaduais e/ou municipais, assim como os normativos internos do IFPB.</w:t>
      </w:r>
    </w:p>
    <w:p w:rsidR="00285615" w:rsidRDefault="008C0178">
      <w:pPr>
        <w:numPr>
          <w:ilvl w:val="1"/>
          <w:numId w:val="8"/>
        </w:numPr>
        <w:spacing w:after="60" w:line="276" w:lineRule="auto"/>
        <w:ind w:left="0" w:firstLine="0"/>
      </w:pPr>
      <w:r>
        <w:t xml:space="preserve">Os casos omissos serão resolvidos pela </w:t>
      </w:r>
      <w:r>
        <w:rPr>
          <w:color w:val="FF0000"/>
        </w:rPr>
        <w:t xml:space="preserve">Diretoria de Extensão e Cultura (ou setor equivalente) </w:t>
      </w:r>
      <w:r>
        <w:t xml:space="preserve">do </w:t>
      </w:r>
      <w:r>
        <w:rPr>
          <w:i/>
        </w:rPr>
        <w:t>campus</w:t>
      </w:r>
      <w:r>
        <w:t xml:space="preserve"> </w:t>
      </w:r>
      <w:r>
        <w:rPr>
          <w:color w:val="FF0000"/>
        </w:rPr>
        <w:t>xxxxxxxx</w:t>
      </w:r>
      <w:r>
        <w:t>.</w:t>
      </w:r>
    </w:p>
    <w:p w:rsidR="00285615" w:rsidRDefault="00285615">
      <w:pPr>
        <w:jc w:val="right"/>
      </w:pPr>
    </w:p>
    <w:p w:rsidR="00285615" w:rsidRDefault="008C0178">
      <w:pPr>
        <w:jc w:val="right"/>
        <w:rPr>
          <w:color w:val="FF0000"/>
        </w:rPr>
      </w:pPr>
      <w:r>
        <w:rPr>
          <w:color w:val="FF0000"/>
        </w:rPr>
        <w:t>Cidade/PB, XX de XXXXX de 202X</w:t>
      </w:r>
    </w:p>
    <w:p w:rsidR="00285615" w:rsidRDefault="008C0178">
      <w:r>
        <w:t xml:space="preserve">  </w:t>
      </w:r>
    </w:p>
    <w:p w:rsidR="00285615" w:rsidRDefault="008C0178">
      <w:r>
        <w:rPr>
          <w:b/>
        </w:rPr>
        <w:t xml:space="preserve"> </w:t>
      </w:r>
    </w:p>
    <w:p w:rsidR="00285615" w:rsidRDefault="008C0178">
      <w:pPr>
        <w:ind w:right="63"/>
        <w:jc w:val="center"/>
        <w:rPr>
          <w:color w:val="FF0000"/>
        </w:rPr>
      </w:pPr>
      <w:r>
        <w:rPr>
          <w:color w:val="FF0000"/>
        </w:rPr>
        <w:t>Direção xxxxx</w:t>
      </w:r>
      <w:r>
        <w:rPr>
          <w:color w:val="FF0000"/>
        </w:rPr>
        <w:t>xx</w:t>
      </w:r>
    </w:p>
    <w:p w:rsidR="00285615" w:rsidRDefault="008C0178">
      <w:pPr>
        <w:ind w:right="63"/>
        <w:jc w:val="center"/>
        <w:rPr>
          <w:color w:val="FF0000"/>
        </w:rPr>
      </w:pPr>
      <w:r>
        <w:rPr>
          <w:i/>
          <w:color w:val="FF0000"/>
        </w:rPr>
        <w:t>Campus</w:t>
      </w:r>
      <w:r>
        <w:rPr>
          <w:color w:val="FF0000"/>
        </w:rPr>
        <w:t xml:space="preserve"> xxxxxx</w:t>
      </w:r>
    </w:p>
    <w:p w:rsidR="00285615" w:rsidRDefault="008C0178">
      <w:r>
        <w:t xml:space="preserve"> </w:t>
      </w:r>
      <w:r>
        <w:rPr>
          <w:b/>
        </w:rPr>
        <w:t xml:space="preserve">   </w:t>
      </w:r>
    </w:p>
    <w:p w:rsidR="00285615" w:rsidRDefault="00285615"/>
    <w:sectPr w:rsidR="00285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/>
      <w:pgMar w:top="1985" w:right="959" w:bottom="1154" w:left="1417" w:header="3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78" w:rsidRDefault="008C0178">
      <w:r>
        <w:separator/>
      </w:r>
    </w:p>
  </w:endnote>
  <w:endnote w:type="continuationSeparator" w:id="0">
    <w:p w:rsidR="008C0178" w:rsidRDefault="008C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5" w:rsidRDefault="008C0178">
    <w:pPr>
      <w:spacing w:line="259" w:lineRule="auto"/>
      <w:ind w:left="3059" w:right="6"/>
      <w:jc w:val="right"/>
    </w:pP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-52694</wp:posOffset>
          </wp:positionH>
          <wp:positionV relativeFrom="paragraph">
            <wp:posOffset>2540</wp:posOffset>
          </wp:positionV>
          <wp:extent cx="1486535" cy="388620"/>
          <wp:effectExtent l="0" t="0" r="0" b="0"/>
          <wp:wrapSquare wrapText="bothSides" distT="0" distB="0" distL="114300" distR="114300"/>
          <wp:docPr id="1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l="0" t="0" r="0" b="0"/>
          <wp:wrapSquare wrapText="bothSides" distT="0" distB="0" distL="114300" distR="114300"/>
          <wp:docPr id="1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5615" w:rsidRDefault="008C0178">
    <w:pPr>
      <w:spacing w:line="259" w:lineRule="auto"/>
      <w:ind w:left="3059" w:right="62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285615" w:rsidRDefault="008C0178">
    <w:pPr>
      <w:spacing w:line="259" w:lineRule="auto"/>
      <w:ind w:left="3059" w:right="17"/>
      <w:jc w:val="right"/>
    </w:pP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5" w:rsidRDefault="008C0178">
    <w:pPr>
      <w:spacing w:line="259" w:lineRule="auto"/>
      <w:ind w:left="3059" w:right="6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109230</wp:posOffset>
          </wp:positionH>
          <wp:positionV relativeFrom="paragraph">
            <wp:posOffset>89535</wp:posOffset>
          </wp:positionV>
          <wp:extent cx="1486535" cy="388620"/>
          <wp:effectExtent l="0" t="0" r="0" b="0"/>
          <wp:wrapSquare wrapText="bothSides" distT="0" distB="0" distL="114300" distR="114300"/>
          <wp:docPr id="10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5615" w:rsidRDefault="008C0178">
    <w:pPr>
      <w:spacing w:line="259" w:lineRule="auto"/>
      <w:ind w:left="3059" w:right="6"/>
      <w:jc w:val="right"/>
    </w:pPr>
    <w:r>
      <w:fldChar w:fldCharType="begin"/>
    </w:r>
    <w:r>
      <w:instrText>PAGE</w:instrText>
    </w:r>
    <w:r w:rsidR="00C6626D">
      <w:fldChar w:fldCharType="separate"/>
    </w:r>
    <w:r w:rsidR="00C6626D">
      <w:rPr>
        <w:noProof/>
      </w:rPr>
      <w:t>2</w:t>
    </w:r>
    <w:r>
      <w:fldChar w:fldCharType="end"/>
    </w:r>
    <w:r>
      <w:rPr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l="0" t="0" r="0" b="0"/>
          <wp:wrapSquare wrapText="bothSides" distT="0" distB="0" distL="114300" distR="114300"/>
          <wp:docPr id="1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5" w:rsidRDefault="008C0178">
    <w:pPr>
      <w:spacing w:line="259" w:lineRule="auto"/>
      <w:ind w:left="3059" w:right="6"/>
      <w:jc w:val="right"/>
    </w:pP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-52694</wp:posOffset>
          </wp:positionH>
          <wp:positionV relativeFrom="paragraph">
            <wp:posOffset>2540</wp:posOffset>
          </wp:positionV>
          <wp:extent cx="1486535" cy="388620"/>
          <wp:effectExtent l="0" t="0" r="0" b="0"/>
          <wp:wrapSquare wrapText="bothSides" distT="0" distB="0" distL="114300" distR="114300"/>
          <wp:docPr id="10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l="0" t="0" r="0" b="0"/>
          <wp:wrapSquare wrapText="bothSides" distT="0" distB="0" distL="114300" distR="114300"/>
          <wp:docPr id="1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5615" w:rsidRDefault="008C0178">
    <w:pPr>
      <w:spacing w:line="259" w:lineRule="auto"/>
      <w:ind w:left="3059" w:right="62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285615" w:rsidRDefault="008C0178">
    <w:pPr>
      <w:spacing w:line="259" w:lineRule="auto"/>
      <w:ind w:left="3059" w:right="17"/>
      <w:jc w:val="right"/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78" w:rsidRDefault="008C0178">
      <w:r>
        <w:separator/>
      </w:r>
    </w:p>
  </w:footnote>
  <w:footnote w:type="continuationSeparator" w:id="0">
    <w:p w:rsidR="008C0178" w:rsidRDefault="008C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5" w:rsidRDefault="008C0178">
    <w:pPr>
      <w:spacing w:after="62" w:line="259" w:lineRule="auto"/>
      <w:ind w:right="39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l="0" t="0" r="0" b="0"/>
          <wp:wrapSquare wrapText="bothSides" distT="0" distB="0" distL="114300" distR="114300"/>
          <wp:docPr id="1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8"/>
        <w:szCs w:val="8"/>
      </w:rPr>
      <w:t xml:space="preserve"> </w:t>
    </w:r>
  </w:p>
  <w:p w:rsidR="00285615" w:rsidRDefault="008C0178">
    <w:pPr>
      <w:spacing w:line="259" w:lineRule="auto"/>
      <w:ind w:right="66"/>
      <w:jc w:val="center"/>
    </w:pPr>
    <w:r>
      <w:rPr>
        <w:sz w:val="14"/>
        <w:szCs w:val="14"/>
      </w:rPr>
      <w:t xml:space="preserve">MINISTÉRIO DA EDUCAÇÃO </w:t>
    </w:r>
  </w:p>
  <w:p w:rsidR="00285615" w:rsidRDefault="008C0178">
    <w:pPr>
      <w:spacing w:line="259" w:lineRule="auto"/>
      <w:ind w:right="69"/>
      <w:jc w:val="center"/>
    </w:pPr>
    <w:r>
      <w:rPr>
        <w:sz w:val="14"/>
        <w:szCs w:val="14"/>
      </w:rPr>
      <w:t>SECRETARIA DE EDUCAÇÃO PROFISS</w:t>
    </w:r>
    <w:r>
      <w:rPr>
        <w:sz w:val="14"/>
        <w:szCs w:val="14"/>
      </w:rPr>
      <w:t xml:space="preserve">IONAL E TECNOLÓGICA </w:t>
    </w:r>
  </w:p>
  <w:p w:rsidR="00285615" w:rsidRDefault="008C0178">
    <w:pPr>
      <w:spacing w:after="67" w:line="245" w:lineRule="auto"/>
      <w:ind w:left="1679" w:right="1704"/>
      <w:jc w:val="center"/>
    </w:pPr>
    <w:r>
      <w:rPr>
        <w:sz w:val="14"/>
        <w:szCs w:val="14"/>
      </w:rPr>
      <w:t xml:space="preserve">INSTITUTO FEDERAL DE EDUCAÇÃO, CIÊNCIA E TECNOLOGIA DA PARAÍBA PRÓ-REITORIA DE EXTENSÃO E CULTURA </w:t>
    </w:r>
  </w:p>
  <w:p w:rsidR="00285615" w:rsidRDefault="008C0178">
    <w:pPr>
      <w:spacing w:line="259" w:lineRule="auto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5" w:rsidRDefault="008C0178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l="0" t="0" r="0" b="0"/>
          <wp:wrapSquare wrapText="bothSides" distT="0" distB="0" distL="114300" distR="114300"/>
          <wp:docPr id="1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8"/>
        <w:szCs w:val="8"/>
      </w:rPr>
      <w:t xml:space="preserve"> </w:t>
    </w:r>
  </w:p>
  <w:p w:rsidR="00285615" w:rsidRDefault="00285615">
    <w:pPr>
      <w:jc w:val="center"/>
      <w:rPr>
        <w:sz w:val="14"/>
        <w:szCs w:val="14"/>
      </w:rPr>
    </w:pPr>
  </w:p>
  <w:p w:rsidR="00285615" w:rsidRDefault="00285615">
    <w:pPr>
      <w:jc w:val="center"/>
      <w:rPr>
        <w:sz w:val="14"/>
        <w:szCs w:val="14"/>
      </w:rPr>
    </w:pPr>
  </w:p>
  <w:p w:rsidR="00285615" w:rsidRDefault="00285615">
    <w:pPr>
      <w:jc w:val="center"/>
      <w:rPr>
        <w:sz w:val="14"/>
        <w:szCs w:val="14"/>
      </w:rPr>
    </w:pPr>
  </w:p>
  <w:p w:rsidR="00285615" w:rsidRDefault="008C0178">
    <w:pPr>
      <w:jc w:val="center"/>
    </w:pPr>
    <w:r>
      <w:rPr>
        <w:sz w:val="14"/>
        <w:szCs w:val="14"/>
      </w:rPr>
      <w:t>MINISTÉRIO DA EDUCAÇÃO</w:t>
    </w:r>
  </w:p>
  <w:p w:rsidR="00285615" w:rsidRDefault="008C0178">
    <w:pPr>
      <w:jc w:val="center"/>
    </w:pPr>
    <w:r>
      <w:rPr>
        <w:sz w:val="14"/>
        <w:szCs w:val="14"/>
      </w:rPr>
      <w:t xml:space="preserve">SECRETARIA DE EDUCAÇÃO PROFISSIONAL E TECNOLÓGICA </w:t>
    </w:r>
  </w:p>
  <w:p w:rsidR="00285615" w:rsidRDefault="008C0178">
    <w:pPr>
      <w:jc w:val="center"/>
      <w:rPr>
        <w:sz w:val="14"/>
        <w:szCs w:val="14"/>
      </w:rPr>
    </w:pPr>
    <w:r>
      <w:rPr>
        <w:sz w:val="14"/>
        <w:szCs w:val="14"/>
      </w:rPr>
      <w:t>INSTITUTO FEDERAL DE EDUCAÇÃO, CIÊNCIA E TECNOLOGIA DA PARAÍBA</w:t>
    </w:r>
  </w:p>
  <w:p w:rsidR="00285615" w:rsidRDefault="008C0178">
    <w:pPr>
      <w:jc w:val="center"/>
      <w:rPr>
        <w:color w:val="FF0000"/>
      </w:rPr>
    </w:pPr>
    <w:r>
      <w:rPr>
        <w:sz w:val="14"/>
        <w:szCs w:val="14"/>
      </w:rPr>
      <w:t xml:space="preserve">DIREÇÃO  </w:t>
    </w:r>
    <w:r>
      <w:rPr>
        <w:color w:val="FF0000"/>
        <w:sz w:val="14"/>
        <w:szCs w:val="14"/>
      </w:rPr>
      <w:t>XXXXXX</w:t>
    </w:r>
    <w:r>
      <w:rPr>
        <w:sz w:val="14"/>
        <w:szCs w:val="14"/>
      </w:rPr>
      <w:t xml:space="preserve"> DO CAMPUS </w:t>
    </w:r>
    <w:r>
      <w:rPr>
        <w:color w:val="FF0000"/>
        <w:sz w:val="14"/>
        <w:szCs w:val="14"/>
      </w:rPr>
      <w:t>XXXXXX</w:t>
    </w:r>
  </w:p>
  <w:p w:rsidR="00285615" w:rsidRDefault="008C0178">
    <w:pPr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5" w:rsidRDefault="008C0178">
    <w:pPr>
      <w:spacing w:after="62" w:line="259" w:lineRule="auto"/>
      <w:ind w:right="39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l="0" t="0" r="0" b="0"/>
          <wp:wrapSquare wrapText="bothSides" distT="0" distB="0" distL="114300" distR="114300"/>
          <wp:docPr id="1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8"/>
        <w:szCs w:val="8"/>
      </w:rPr>
      <w:t xml:space="preserve"> </w:t>
    </w:r>
  </w:p>
  <w:p w:rsidR="00285615" w:rsidRDefault="008C0178">
    <w:pPr>
      <w:spacing w:line="259" w:lineRule="auto"/>
      <w:ind w:right="66"/>
      <w:jc w:val="center"/>
    </w:pPr>
    <w:r>
      <w:rPr>
        <w:sz w:val="14"/>
        <w:szCs w:val="14"/>
      </w:rPr>
      <w:t xml:space="preserve">MINISTÉRIO DA EDUCAÇÃO </w:t>
    </w:r>
  </w:p>
  <w:p w:rsidR="00285615" w:rsidRDefault="008C0178">
    <w:pPr>
      <w:spacing w:line="259" w:lineRule="auto"/>
      <w:ind w:right="69"/>
      <w:jc w:val="center"/>
    </w:pPr>
    <w:r>
      <w:rPr>
        <w:sz w:val="14"/>
        <w:szCs w:val="14"/>
      </w:rPr>
      <w:t xml:space="preserve">SECRETARIA DE EDUCAÇÃO PROFISSIONAL E TECNOLÓGICA </w:t>
    </w:r>
  </w:p>
  <w:p w:rsidR="00285615" w:rsidRDefault="008C0178">
    <w:pPr>
      <w:spacing w:after="67" w:line="245" w:lineRule="auto"/>
      <w:ind w:left="1679" w:right="1704"/>
      <w:jc w:val="center"/>
    </w:pPr>
    <w:r>
      <w:rPr>
        <w:sz w:val="14"/>
        <w:szCs w:val="14"/>
      </w:rPr>
      <w:t xml:space="preserve">INSTITUTO FEDERAL DE EDUCAÇÃO, CIÊNCIA E TECNOLOGIA DA PARAÍBA PRÓ-REITORIA DE EXTENSÃO E CULTURA </w:t>
    </w:r>
  </w:p>
  <w:p w:rsidR="00285615" w:rsidRDefault="008C0178">
    <w:pPr>
      <w:spacing w:line="259" w:lineRule="auto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121"/>
    <w:multiLevelType w:val="multilevel"/>
    <w:tmpl w:val="46E63E8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5162FCD"/>
    <w:multiLevelType w:val="multilevel"/>
    <w:tmpl w:val="34E472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E45CDA"/>
    <w:multiLevelType w:val="multilevel"/>
    <w:tmpl w:val="BE78BA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997C44"/>
    <w:multiLevelType w:val="multilevel"/>
    <w:tmpl w:val="1FE892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295654"/>
    <w:multiLevelType w:val="multilevel"/>
    <w:tmpl w:val="4634A2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2A0423"/>
    <w:multiLevelType w:val="multilevel"/>
    <w:tmpl w:val="D74AB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3B60DB"/>
    <w:multiLevelType w:val="multilevel"/>
    <w:tmpl w:val="E774E8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A109E5"/>
    <w:multiLevelType w:val="multilevel"/>
    <w:tmpl w:val="714E5D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5F4AD9"/>
    <w:multiLevelType w:val="multilevel"/>
    <w:tmpl w:val="4482BA0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" w15:restartNumberingAfterBreak="0">
    <w:nsid w:val="7EE8564A"/>
    <w:multiLevelType w:val="multilevel"/>
    <w:tmpl w:val="4B3EE0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15"/>
    <w:rsid w:val="00285615"/>
    <w:rsid w:val="008C0178"/>
    <w:rsid w:val="00C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D5C5-67E2-4D17-BFA1-5B45656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EBF1DD"/>
      <w:spacing w:after="305"/>
      <w:ind w:hanging="10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9"/>
      <w:ind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9"/>
      <w:ind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361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617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28F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33" w:type="dxa"/>
        <w:left w:w="115" w:type="dxa"/>
        <w:right w:w="115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5" w:type="dxa"/>
        <w:left w:w="108" w:type="dxa"/>
        <w:right w:w="60" w:type="dxa"/>
      </w:tblCellMar>
    </w:tblPr>
  </w:style>
  <w:style w:type="table" w:styleId="Tabelacomgrade">
    <w:name w:val="Table Grid"/>
    <w:basedOn w:val="Tabelanormal"/>
    <w:uiPriority w:val="59"/>
    <w:rsid w:val="0055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5" w:type="dxa"/>
        <w:left w:w="108" w:type="dxa"/>
        <w:bottom w:w="100" w:type="dxa"/>
        <w:right w:w="6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5" w:type="dxa"/>
        <w:left w:w="108" w:type="dxa"/>
        <w:bottom w:w="100" w:type="dxa"/>
        <w:right w:w="6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5" w:type="dxa"/>
        <w:left w:w="108" w:type="dxa"/>
        <w:bottom w:w="100" w:type="dxa"/>
        <w:right w:w="6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5" w:type="dxa"/>
        <w:left w:w="108" w:type="dxa"/>
        <w:bottom w:w="100" w:type="dxa"/>
        <w:right w:w="6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2" w:type="dxa"/>
        <w:left w:w="114" w:type="dxa"/>
        <w:right w:w="106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7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7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VFHs6OaaNG8NGBTGXfQXrWmDOA==">AMUW2mXHw78NUs9q5gY6TYk3qJd3OCFNbnCS8SsOyEl69WyS8tsGBzp+d0DnL+pMl9wsM7fBpVMxHJxKoZonyXkVtDx4WBxNbhnqvY66X8s6HH+t9cYeYz0l9taXsbDBRgIv6OU1XCJZ5YEJHSzfFtEffQ05366ztq1bol9u9GRWMt+vMXLV58pUjSFs2v8VJVMCbPaficddqHiefybIcSQBnGc18Ygx9XbdIji43+ZUym9Rg/GDOErUPFRtW/POmq+UkVvgGvqcvAlcwZ9zJFcJ0YbkFMJNmzhYGeKRpOiZEJ15E0eWYaCbSaeU5iWJ++R/uX+3LAKHYkxIeqcO8sMO/mtSbUtaI6RtSoDghmQyx3i+eMK2BT3p5Fhe/QbsOn5ia/P2d3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sopheus</cp:lastModifiedBy>
  <cp:revision>2</cp:revision>
  <dcterms:created xsi:type="dcterms:W3CDTF">2021-07-16T19:31:00Z</dcterms:created>
  <dcterms:modified xsi:type="dcterms:W3CDTF">2021-07-16T19:31:00Z</dcterms:modified>
</cp:coreProperties>
</file>