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sz w:val="21"/>
          <w:szCs w:val="21"/>
          <w:lang w:eastAsia="en-US"/>
        </w:rPr>
      </w:pPr>
    </w:p>
    <w:p>
      <w:pPr>
        <w:pStyle w:val="72"/>
        <w:shd w:val="clear" w:color="auto" w:fill="E6E6E6"/>
        <w:overflowPunct/>
        <w:spacing w:before="0" w:after="120" w:line="276" w:lineRule="auto"/>
        <w:ind w:right="-17" w:firstLine="0"/>
        <w:jc w:val="center"/>
        <w:rPr>
          <w:rFonts w:hint="default" w:ascii="Arial" w:hAnsi="Arial" w:cs="Arial"/>
          <w:b/>
          <w:bCs/>
          <w:color w:val="000000"/>
          <w:sz w:val="21"/>
          <w:szCs w:val="21"/>
        </w:rPr>
      </w:pPr>
      <w:r>
        <w:rPr>
          <w:rFonts w:hint="default" w:ascii="Arial" w:hAnsi="Arial" w:cs="Arial"/>
          <w:b/>
          <w:bCs/>
          <w:color w:val="000000" w:themeColor="text1"/>
          <w:sz w:val="21"/>
          <w:szCs w:val="21"/>
          <w14:textFill>
            <w14:solidFill>
              <w14:schemeClr w14:val="tx1"/>
            </w14:solidFill>
          </w14:textFill>
        </w:rPr>
        <w:t>EDITAL</w:t>
      </w:r>
    </w:p>
    <w:p>
      <w:pPr>
        <w:spacing w:line="276" w:lineRule="auto"/>
        <w:jc w:val="both"/>
        <w:rPr>
          <w:rFonts w:hint="default" w:ascii="Arial" w:hAnsi="Arial" w:cs="Arial"/>
          <w:b/>
          <w:bCs/>
          <w:color w:val="000000"/>
          <w:sz w:val="21"/>
          <w:szCs w:val="21"/>
        </w:rPr>
      </w:pPr>
      <w:r>
        <w:rPr>
          <w:rFonts w:hint="default" w:ascii="Arial" w:hAnsi="Arial" w:cs="Arial"/>
          <w:sz w:val="21"/>
          <w:szCs w:val="21"/>
          <w:lang w:eastAsia="en-US"/>
        </w:rPr>
        <w:t xml:space="preserve">  </w:t>
      </w:r>
    </w:p>
    <w:p>
      <w:pPr>
        <w:spacing w:line="276" w:lineRule="auto"/>
        <w:jc w:val="center"/>
        <w:rPr>
          <w:rFonts w:hint="default" w:ascii="Arial" w:hAnsi="Arial" w:cs="Arial"/>
          <w:b/>
          <w:bCs/>
          <w:color w:val="000000" w:themeColor="text1"/>
          <w:sz w:val="21"/>
          <w:szCs w:val="21"/>
          <w14:textFill>
            <w14:solidFill>
              <w14:schemeClr w14:val="tx1"/>
            </w14:solidFill>
          </w14:textFill>
        </w:rPr>
      </w:pPr>
      <w:r>
        <w:rPr>
          <w:rFonts w:hint="default" w:ascii="Arial" w:hAnsi="Arial" w:cs="Arial"/>
          <w:b/>
          <w:bCs/>
          <w:color w:val="000000" w:themeColor="text1"/>
          <w:sz w:val="21"/>
          <w:szCs w:val="21"/>
          <w14:textFill>
            <w14:solidFill>
              <w14:schemeClr w14:val="tx1"/>
            </w14:solidFill>
          </w14:textFill>
        </w:rPr>
        <w:t xml:space="preserve">PREGÃO ELETRÔNICO (SRP) </w:t>
      </w:r>
      <w:r>
        <w:rPr>
          <w:rFonts w:hint="default" w:ascii="Arial" w:hAnsi="Arial" w:cs="Arial"/>
          <w:b/>
          <w:bCs/>
          <w:color w:val="000000" w:themeColor="text1"/>
          <w:sz w:val="21"/>
          <w:szCs w:val="21"/>
          <w:lang w:val="pt-BR"/>
          <w14:textFill>
            <w14:solidFill>
              <w14:schemeClr w14:val="tx1"/>
            </w14:solidFill>
          </w14:textFill>
        </w:rPr>
        <w:t xml:space="preserve">n.° </w:t>
      </w:r>
      <w:r>
        <w:rPr>
          <w:rFonts w:hint="default" w:cs="Arial"/>
          <w:b/>
          <w:bCs/>
          <w:color w:val="FF0000"/>
          <w:sz w:val="21"/>
          <w:szCs w:val="21"/>
          <w:lang w:val="pt-BR"/>
        </w:rPr>
        <w:t>01</w:t>
      </w:r>
      <w:r>
        <w:rPr>
          <w:rFonts w:hint="default" w:ascii="Arial" w:hAnsi="Arial" w:cs="Arial"/>
          <w:b/>
          <w:bCs/>
          <w:color w:val="FF0000"/>
          <w:sz w:val="21"/>
          <w:szCs w:val="21"/>
        </w:rPr>
        <w:t>/2020</w:t>
      </w:r>
    </w:p>
    <w:p>
      <w:pPr>
        <w:spacing w:line="276" w:lineRule="auto"/>
        <w:jc w:val="cente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 xml:space="preserve">(Processo Administrativo </w:t>
      </w:r>
      <w:r>
        <w:rPr>
          <w:rFonts w:hint="default" w:ascii="Arial" w:hAnsi="Arial"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23326.008091.2019-72)</w:t>
      </w:r>
    </w:p>
    <w:p>
      <w:pPr>
        <w:spacing w:after="120" w:line="276" w:lineRule="auto"/>
        <w:ind w:right="-17"/>
        <w:jc w:val="both"/>
        <w:rPr>
          <w:rFonts w:hint="default" w:ascii="Arial" w:hAnsi="Arial" w:cs="Arial"/>
          <w:b/>
          <w:bCs/>
          <w:color w:val="000000"/>
          <w:sz w:val="21"/>
          <w:szCs w:val="21"/>
        </w:rPr>
      </w:pPr>
    </w:p>
    <w:p>
      <w:pPr>
        <w:snapToGrid w:val="0"/>
        <w:spacing w:after="120" w:line="276" w:lineRule="auto"/>
        <w:ind w:right="-30" w:firstLine="540"/>
        <w:jc w:val="both"/>
        <w:rPr>
          <w:rFonts w:hint="default" w:ascii="Arial" w:hAnsi="Arial" w:eastAsia="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 xml:space="preserve">Torna-se público que </w:t>
      </w:r>
      <w:r>
        <w:rPr>
          <w:rFonts w:cs="Arial"/>
          <w:color w:val="000000" w:themeColor="text1"/>
          <w:sz w:val="21"/>
          <w:szCs w:val="21"/>
          <w14:textFill>
            <w14:solidFill>
              <w14:schemeClr w14:val="tx1"/>
            </w14:solidFill>
          </w14:textFill>
        </w:rPr>
        <w:t>o Instituto Federal</w:t>
      </w:r>
      <w:r>
        <w:rPr>
          <w:rFonts w:hint="default" w:cs="Arial"/>
          <w:color w:val="000000" w:themeColor="text1"/>
          <w:sz w:val="21"/>
          <w:szCs w:val="21"/>
          <w:lang w:val="pt-BR"/>
          <w14:textFill>
            <w14:solidFill>
              <w14:schemeClr w14:val="tx1"/>
            </w14:solidFill>
          </w14:textFill>
        </w:rPr>
        <w:t xml:space="preserve"> de Educação, Ciência e Tecnologia</w:t>
      </w:r>
      <w:r>
        <w:rPr>
          <w:rFonts w:cs="Arial"/>
          <w:color w:val="000000" w:themeColor="text1"/>
          <w:sz w:val="21"/>
          <w:szCs w:val="21"/>
          <w14:textFill>
            <w14:solidFill>
              <w14:schemeClr w14:val="tx1"/>
            </w14:solidFill>
          </w14:textFill>
        </w:rPr>
        <w:t xml:space="preserve"> da Paraíba – Campus João Pessoa, </w:t>
      </w:r>
      <w:r>
        <w:rPr>
          <w:rFonts w:hint="default" w:cs="Arial"/>
          <w:color w:val="000000" w:themeColor="text1"/>
          <w:sz w:val="21"/>
          <w:szCs w:val="21"/>
          <w:lang w:val="pt-BR"/>
          <w14:textFill>
            <w14:solidFill>
              <w14:schemeClr w14:val="tx1"/>
            </w14:solidFill>
          </w14:textFill>
        </w:rPr>
        <w:t xml:space="preserve">inscrito no </w:t>
      </w:r>
      <w:r>
        <w:rPr>
          <w:rFonts w:cs="Arial"/>
          <w:color w:val="000000" w:themeColor="text1"/>
          <w:sz w:val="21"/>
          <w:szCs w:val="21"/>
          <w14:textFill>
            <w14:solidFill>
              <w14:schemeClr w14:val="tx1"/>
            </w14:solidFill>
          </w14:textFill>
        </w:rPr>
        <w:t>CNPJ</w:t>
      </w:r>
      <w:r>
        <w:rPr>
          <w:rFonts w:hint="default" w:cs="Arial"/>
          <w:color w:val="000000" w:themeColor="text1"/>
          <w:sz w:val="21"/>
          <w:szCs w:val="21"/>
          <w:lang w:val="pt-BR"/>
          <w14:textFill>
            <w14:solidFill>
              <w14:schemeClr w14:val="tx1"/>
            </w14:solidFill>
          </w14:textFill>
        </w:rPr>
        <w:t xml:space="preserve">/ME sob o </w:t>
      </w:r>
      <w:r>
        <w:rPr>
          <w:rFonts w:cs="Arial"/>
          <w:color w:val="000000" w:themeColor="text1"/>
          <w:sz w:val="21"/>
          <w:szCs w:val="21"/>
          <w14:textFill>
            <w14:solidFill>
              <w14:schemeClr w14:val="tx1"/>
            </w14:solidFill>
          </w14:textFill>
        </w:rPr>
        <w:t>n</w:t>
      </w:r>
      <w:r>
        <w:rPr>
          <w:rFonts w:hint="default" w:cs="Arial"/>
          <w:color w:val="000000" w:themeColor="text1"/>
          <w:sz w:val="21"/>
          <w:szCs w:val="21"/>
          <w:lang w:val="pt-BR"/>
          <w14:textFill>
            <w14:solidFill>
              <w14:schemeClr w14:val="tx1"/>
            </w14:solidFill>
          </w14:textFill>
        </w:rPr>
        <w:t>.</w:t>
      </w:r>
      <w:r>
        <w:rPr>
          <w:rFonts w:cs="Arial"/>
          <w:color w:val="000000" w:themeColor="text1"/>
          <w:sz w:val="21"/>
          <w:szCs w:val="21"/>
          <w14:textFill>
            <w14:solidFill>
              <w14:schemeClr w14:val="tx1"/>
            </w14:solidFill>
          </w14:textFill>
        </w:rPr>
        <w:t xml:space="preserve">º 10.783.898/0002-56, por meio da Coordenação de Compras e Licitações, sediado </w:t>
      </w:r>
      <w:r>
        <w:rPr>
          <w:rFonts w:eastAsia="Arial" w:cs="Arial"/>
          <w:sz w:val="21"/>
          <w:szCs w:val="21"/>
        </w:rPr>
        <w:t>Av. Primeiro de Maio, 720</w:t>
      </w:r>
      <w:r>
        <w:rPr>
          <w:rFonts w:hint="default" w:eastAsia="Arial" w:cs="Arial"/>
          <w:sz w:val="21"/>
          <w:szCs w:val="21"/>
          <w:lang w:val="pt-BR"/>
        </w:rPr>
        <w:t xml:space="preserve"> -</w:t>
      </w:r>
      <w:r>
        <w:rPr>
          <w:rFonts w:eastAsia="Arial" w:cs="Arial"/>
          <w:sz w:val="21"/>
          <w:szCs w:val="21"/>
        </w:rPr>
        <w:t xml:space="preserve"> Jaguaribe</w:t>
      </w:r>
      <w:r>
        <w:rPr>
          <w:rFonts w:hint="default" w:eastAsia="Arial" w:cs="Arial"/>
          <w:sz w:val="21"/>
          <w:szCs w:val="21"/>
          <w:lang w:val="pt-BR"/>
        </w:rPr>
        <w:t xml:space="preserve"> -</w:t>
      </w:r>
      <w:r>
        <w:rPr>
          <w:rFonts w:eastAsia="Arial" w:cs="Arial"/>
          <w:sz w:val="21"/>
          <w:szCs w:val="21"/>
        </w:rPr>
        <w:t xml:space="preserve"> João Pessoa</w:t>
      </w:r>
      <w:r>
        <w:rPr>
          <w:rFonts w:hint="default" w:eastAsia="Arial" w:cs="Arial"/>
          <w:sz w:val="21"/>
          <w:szCs w:val="21"/>
          <w:lang w:val="pt-BR"/>
        </w:rPr>
        <w:t>-</w:t>
      </w:r>
      <w:r>
        <w:rPr>
          <w:rFonts w:eastAsia="Arial" w:cs="Arial"/>
          <w:sz w:val="21"/>
          <w:szCs w:val="21"/>
        </w:rPr>
        <w:t>P</w:t>
      </w:r>
      <w:r>
        <w:rPr>
          <w:rFonts w:hint="default" w:eastAsia="Arial" w:cs="Arial"/>
          <w:sz w:val="21"/>
          <w:szCs w:val="21"/>
          <w:lang w:val="pt-BR"/>
        </w:rPr>
        <w:t xml:space="preserve">B - CEP: </w:t>
      </w:r>
      <w:r>
        <w:rPr>
          <w:rFonts w:hint="default" w:eastAsia="Arial"/>
          <w:sz w:val="21"/>
          <w:szCs w:val="21"/>
          <w:lang w:val="pt-BR"/>
        </w:rPr>
        <w:t>58.015-435</w:t>
      </w:r>
      <w:r>
        <w:rPr>
          <w:rFonts w:hint="default" w:ascii="Arial" w:hAnsi="Arial" w:cs="Arial"/>
          <w:color w:val="000000" w:themeColor="text1"/>
          <w:sz w:val="21"/>
          <w:szCs w:val="21"/>
          <w14:textFill>
            <w14:solidFill>
              <w14:schemeClr w14:val="tx1"/>
            </w14:solidFill>
          </w14:textFill>
        </w:rPr>
        <w:t>, realizará licitaçã</w:t>
      </w:r>
      <w:r>
        <w:rPr>
          <w:rFonts w:hint="default" w:eastAsia="Arial"/>
          <w:sz w:val="21"/>
          <w:szCs w:val="21"/>
          <w:lang w:val="pt-BR"/>
        </w:rPr>
        <w:t xml:space="preserve">o, </w:t>
      </w:r>
      <w:r>
        <w:rPr>
          <w:rFonts w:hint="default" w:eastAsia="Arial"/>
          <w:b/>
          <w:bCs/>
          <w:i/>
          <w:iCs/>
          <w:sz w:val="21"/>
          <w:szCs w:val="21"/>
          <w:lang w:val="pt-BR"/>
        </w:rPr>
        <w:t>para registro de preços</w:t>
      </w:r>
      <w:r>
        <w:rPr>
          <w:rFonts w:hint="default" w:eastAsia="Arial"/>
          <w:sz w:val="21"/>
          <w:szCs w:val="21"/>
          <w:lang w:val="pt-BR"/>
        </w:rPr>
        <w:t xml:space="preserve">, </w:t>
      </w:r>
      <w:r>
        <w:rPr>
          <w:rFonts w:hint="default" w:ascii="Arial" w:hAnsi="Arial" w:cs="Arial"/>
          <w:color w:val="000000" w:themeColor="text1"/>
          <w:sz w:val="21"/>
          <w:szCs w:val="21"/>
          <w14:textFill>
            <w14:solidFill>
              <w14:schemeClr w14:val="tx1"/>
            </w14:solidFill>
          </w14:textFill>
        </w:rPr>
        <w:t xml:space="preserve">na modalidade PREGÃO, na forma ELETRÔNICA, </w:t>
      </w:r>
      <w:r>
        <w:rPr>
          <w:rFonts w:hint="default" w:ascii="Arial" w:hAnsi="Arial" w:cs="Arial"/>
          <w:b/>
          <w:bCs/>
          <w:i/>
          <w:iCs/>
          <w:color w:val="000000" w:themeColor="text1"/>
          <w:sz w:val="21"/>
          <w:szCs w:val="21"/>
          <w14:textFill>
            <w14:solidFill>
              <w14:schemeClr w14:val="tx1"/>
            </w14:solidFill>
          </w14:textFill>
        </w:rPr>
        <w:t>com critério de julgamento</w:t>
      </w:r>
      <w:r>
        <w:rPr>
          <w:rFonts w:hint="default" w:ascii="Arial" w:hAnsi="Arial" w:cs="Arial"/>
          <w:b/>
          <w:bCs/>
          <w:i/>
          <w:iCs/>
          <w:color w:val="000000"/>
          <w:sz w:val="21"/>
          <w:szCs w:val="21"/>
        </w:rPr>
        <w:t xml:space="preserve"> menor preço</w:t>
      </w:r>
      <w:r>
        <w:rPr>
          <w:rFonts w:hint="default" w:cs="Arial"/>
          <w:b/>
          <w:bCs/>
          <w:color w:val="000000"/>
          <w:sz w:val="21"/>
          <w:szCs w:val="21"/>
          <w:lang w:val="pt-BR"/>
        </w:rPr>
        <w:t>,</w:t>
      </w:r>
      <w:r>
        <w:rPr>
          <w:rFonts w:hint="default" w:eastAsia="Arial" w:cs="Arial"/>
          <w:sz w:val="21"/>
          <w:szCs w:val="21"/>
        </w:rPr>
        <w:t xml:space="preserve"> por </w:t>
      </w:r>
      <w:r>
        <w:rPr>
          <w:rFonts w:hint="default" w:eastAsia="Arial" w:cs="Arial"/>
          <w:sz w:val="21"/>
          <w:szCs w:val="21"/>
          <w:lang w:val="pt-BR"/>
        </w:rPr>
        <w:t xml:space="preserve">item e por </w:t>
      </w:r>
      <w:r>
        <w:rPr>
          <w:rFonts w:hint="default" w:eastAsia="Arial" w:cs="Arial"/>
          <w:sz w:val="21"/>
          <w:szCs w:val="21"/>
        </w:rPr>
        <w:t xml:space="preserve">grupo, </w:t>
      </w:r>
      <w:r>
        <w:rPr>
          <w:rFonts w:hint="default" w:ascii="Arial" w:hAnsi="Arial" w:cs="Arial"/>
          <w:bCs/>
          <w:sz w:val="21"/>
          <w:szCs w:val="21"/>
        </w:rPr>
        <w:t xml:space="preserve">sob a forma de execução indireta, no regime de empreitada </w:t>
      </w:r>
      <w:r>
        <w:rPr>
          <w:rFonts w:hint="default" w:ascii="Arial" w:hAnsi="Arial" w:cs="Arial"/>
          <w:b/>
          <w:bCs w:val="0"/>
          <w:i/>
          <w:iCs/>
          <w:sz w:val="21"/>
          <w:szCs w:val="21"/>
        </w:rPr>
        <w:t xml:space="preserve">por </w:t>
      </w:r>
      <w:r>
        <w:rPr>
          <w:rFonts w:hint="default" w:ascii="Arial" w:hAnsi="Arial" w:cs="Arial"/>
          <w:b/>
          <w:bCs w:val="0"/>
          <w:i/>
          <w:iCs/>
          <w:color w:val="auto"/>
          <w:sz w:val="21"/>
          <w:szCs w:val="21"/>
        </w:rPr>
        <w:t>preço unitário</w:t>
      </w:r>
      <w:r>
        <w:rPr>
          <w:rFonts w:hint="default" w:ascii="Arial" w:hAnsi="Arial" w:cs="Arial"/>
          <w:bCs/>
          <w:sz w:val="21"/>
          <w:szCs w:val="21"/>
        </w:rPr>
        <w:t>,</w:t>
      </w:r>
      <w:r>
        <w:rPr>
          <w:rFonts w:hint="default" w:ascii="Arial" w:hAnsi="Arial" w:cs="Arial"/>
          <w:color w:val="000000" w:themeColor="text1"/>
          <w:sz w:val="21"/>
          <w:szCs w:val="21"/>
          <w14:textFill>
            <w14:solidFill>
              <w14:schemeClr w14:val="tx1"/>
            </w14:solidFill>
          </w14:textFill>
        </w:rPr>
        <w:t xml:space="preserve"> nos termos da Lei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10.520, de 17 de julho de 2002, do Decreto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10.024, de 20 de setembro de 2019, do Decreto 9.507, de 21 de setembro de 2018, do Decreto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7.746, de 05 de junho de 2012, do Decreto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7.892, de 23 de janeiro de 2013, das Instruções Normativas SEGES/MP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05, de 26 de maio de 2017 e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03, de 26 de abril de 2018 e da Instrução Normativa SLTI/MP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01, de 19 de janeiro de 2010, da Lei Complementar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123, de 14 de dezembro de 2006, do Decreto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w:t>
      </w:r>
      <w:r>
        <w:rPr>
          <w:rFonts w:hint="default" w:ascii="Arial" w:hAnsi="Arial" w:cs="Arial"/>
          <w:sz w:val="21"/>
          <w:szCs w:val="21"/>
        </w:rPr>
        <w:t>8.538, de 06 de outubro de 2015</w:t>
      </w:r>
      <w:r>
        <w:rPr>
          <w:rFonts w:hint="default" w:ascii="Arial" w:hAnsi="Arial" w:cs="Arial"/>
          <w:color w:val="000000" w:themeColor="text1"/>
          <w:sz w:val="21"/>
          <w:szCs w:val="21"/>
          <w14:textFill>
            <w14:solidFill>
              <w14:schemeClr w14:val="tx1"/>
            </w14:solidFill>
          </w14:textFill>
        </w:rPr>
        <w:t xml:space="preserve">, aplicando-se, subsidiariamente, a Lei </w:t>
      </w:r>
      <w:r>
        <w:rPr>
          <w:rFonts w:hint="default"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8.666, de 21 de junho de 1993 e as exigências estabelecidas neste Edital</w:t>
      </w:r>
      <w:r>
        <w:rPr>
          <w:rFonts w:hint="default" w:ascii="Arial" w:hAnsi="Arial" w:cs="Arial"/>
          <w:color w:val="000000"/>
          <w:sz w:val="21"/>
          <w:szCs w:val="21"/>
        </w:rPr>
        <w:t>.</w:t>
      </w:r>
    </w:p>
    <w:p>
      <w:pPr>
        <w:spacing w:line="276" w:lineRule="auto"/>
        <w:jc w:val="both"/>
        <w:rPr>
          <w:rFonts w:hint="default" w:ascii="Arial" w:hAnsi="Arial" w:cs="Arial"/>
          <w:color w:val="000000" w:themeColor="text1"/>
          <w:sz w:val="21"/>
          <w:szCs w:val="21"/>
          <w14:textFill>
            <w14:solidFill>
              <w14:schemeClr w14:val="tx1"/>
            </w14:solidFill>
          </w14:textFill>
        </w:rPr>
      </w:pPr>
    </w:p>
    <w:p>
      <w:pPr>
        <w:spacing w:line="276" w:lineRule="auto"/>
        <w:jc w:val="both"/>
        <w:rPr>
          <w:rFonts w:hint="default" w:ascii="Arial" w:hAnsi="Arial" w:cs="Arial"/>
          <w:sz w:val="21"/>
          <w:szCs w:val="21"/>
        </w:rPr>
      </w:pPr>
      <w:r>
        <w:rPr>
          <w:rFonts w:hint="default" w:ascii="Arial" w:hAnsi="Arial" w:cs="Arial"/>
          <w:color w:val="000000" w:themeColor="text1"/>
          <w:sz w:val="21"/>
          <w:szCs w:val="21"/>
          <w14:textFill>
            <w14:solidFill>
              <w14:schemeClr w14:val="tx1"/>
            </w14:solidFill>
          </w14:textFill>
        </w:rPr>
        <w:t>Data da sessão:</w:t>
      </w:r>
      <w:r>
        <w:rPr>
          <w:rFonts w:hint="default" w:cs="Arial"/>
          <w:color w:val="000000" w:themeColor="text1"/>
          <w:sz w:val="21"/>
          <w:szCs w:val="21"/>
          <w:lang w:val="pt-BR"/>
          <w14:textFill>
            <w14:solidFill>
              <w14:schemeClr w14:val="tx1"/>
            </w14:solidFill>
          </w14:textFill>
        </w:rPr>
        <w:t xml:space="preserve"> </w:t>
      </w:r>
      <w:r>
        <w:rPr>
          <w:rFonts w:hint="default" w:cs="Arial"/>
          <w:b/>
          <w:bCs/>
          <w:color w:val="FF0000"/>
          <w:sz w:val="21"/>
          <w:szCs w:val="21"/>
          <w:lang w:val="pt-BR"/>
        </w:rPr>
        <w:t>02</w:t>
      </w:r>
      <w:r>
        <w:rPr>
          <w:rFonts w:hint="default" w:ascii="Arial" w:hAnsi="Arial" w:cs="Arial"/>
          <w:b/>
          <w:bCs/>
          <w:color w:val="FF0000"/>
          <w:sz w:val="21"/>
          <w:szCs w:val="21"/>
        </w:rPr>
        <w:t>/</w:t>
      </w:r>
      <w:r>
        <w:rPr>
          <w:rFonts w:hint="default" w:cs="Arial"/>
          <w:b/>
          <w:bCs/>
          <w:color w:val="FF0000"/>
          <w:sz w:val="21"/>
          <w:szCs w:val="21"/>
          <w:lang w:val="pt-BR"/>
        </w:rPr>
        <w:t>09</w:t>
      </w:r>
      <w:r>
        <w:rPr>
          <w:rFonts w:hint="default" w:ascii="Arial" w:hAnsi="Arial" w:cs="Arial"/>
          <w:b/>
          <w:bCs/>
          <w:color w:val="FF0000"/>
          <w:sz w:val="21"/>
          <w:szCs w:val="21"/>
        </w:rPr>
        <w:t>/2020</w:t>
      </w:r>
    </w:p>
    <w:p>
      <w:pPr>
        <w:spacing w:line="276" w:lineRule="auto"/>
        <w:jc w:val="both"/>
        <w:rPr>
          <w:rFonts w:hint="default" w:ascii="Arial" w:hAnsi="Arial" w:cs="Arial"/>
          <w:sz w:val="21"/>
          <w:szCs w:val="21"/>
        </w:rPr>
      </w:pPr>
      <w:r>
        <w:rPr>
          <w:rFonts w:hint="default" w:ascii="Arial" w:hAnsi="Arial" w:cs="Arial"/>
          <w:color w:val="000000" w:themeColor="text1"/>
          <w:sz w:val="21"/>
          <w:szCs w:val="21"/>
          <w14:textFill>
            <w14:solidFill>
              <w14:schemeClr w14:val="tx1"/>
            </w14:solidFill>
          </w14:textFill>
        </w:rPr>
        <w:t xml:space="preserve">Horário: </w:t>
      </w:r>
      <w:r>
        <w:rPr>
          <w:rFonts w:hint="default" w:ascii="Arial" w:hAnsi="Arial" w:cs="Arial"/>
          <w:b/>
          <w:bCs/>
          <w:color w:val="FF0000"/>
          <w:sz w:val="21"/>
          <w:szCs w:val="21"/>
        </w:rPr>
        <w:t>0</w:t>
      </w:r>
      <w:r>
        <w:rPr>
          <w:rFonts w:hint="default" w:cs="Arial"/>
          <w:b/>
          <w:bCs/>
          <w:color w:val="FF0000"/>
          <w:sz w:val="21"/>
          <w:szCs w:val="21"/>
          <w:lang w:val="pt-BR"/>
        </w:rPr>
        <w:t>9</w:t>
      </w:r>
      <w:r>
        <w:rPr>
          <w:rFonts w:hint="default" w:ascii="Arial" w:hAnsi="Arial" w:cs="Arial"/>
          <w:b/>
          <w:bCs/>
          <w:color w:val="FF0000"/>
          <w:sz w:val="21"/>
          <w:szCs w:val="21"/>
        </w:rPr>
        <w:t>:00 (horário Oficial de Brasília - DF)</w:t>
      </w:r>
    </w:p>
    <w:p>
      <w:pPr>
        <w:spacing w:before="0" w:after="120" w:line="276" w:lineRule="auto"/>
        <w:ind w:right="-15" w:firstLine="0"/>
        <w:jc w:val="both"/>
        <w:rPr>
          <w:rFonts w:hint="default" w:ascii="Arial" w:hAnsi="Arial" w:cs="Arial"/>
          <w:b/>
          <w:bCs/>
          <w:color w:val="000000" w:themeColor="text1"/>
          <w:sz w:val="21"/>
          <w:szCs w:val="21"/>
          <w:lang w:val="pt-BR"/>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 xml:space="preserve">Local: Portal de Compras do Governo Federal – </w:t>
      </w:r>
      <w:r>
        <w:rPr>
          <w:rFonts w:hint="default" w:ascii="Arial" w:hAnsi="Arial" w:cs="Arial"/>
          <w:color w:val="0000FF"/>
          <w:sz w:val="21"/>
          <w:szCs w:val="21"/>
        </w:rPr>
        <w:fldChar w:fldCharType="begin"/>
      </w:r>
      <w:r>
        <w:rPr>
          <w:rFonts w:hint="default" w:ascii="Arial" w:hAnsi="Arial" w:cs="Arial"/>
          <w:color w:val="0000FF"/>
          <w:sz w:val="21"/>
          <w:szCs w:val="21"/>
        </w:rPr>
        <w:instrText xml:space="preserve"> HYPERLINK "http://www.comprasgovernamentais.gov.br" </w:instrText>
      </w:r>
      <w:r>
        <w:rPr>
          <w:rFonts w:hint="default" w:ascii="Arial" w:hAnsi="Arial" w:cs="Arial"/>
          <w:color w:val="0000FF"/>
          <w:sz w:val="21"/>
          <w:szCs w:val="21"/>
        </w:rPr>
        <w:fldChar w:fldCharType="separate"/>
      </w:r>
      <w:r>
        <w:rPr>
          <w:rStyle w:val="18"/>
          <w:rFonts w:hint="default" w:ascii="Arial" w:hAnsi="Arial" w:cs="Arial"/>
          <w:color w:val="0000FF"/>
          <w:sz w:val="21"/>
          <w:szCs w:val="21"/>
        </w:rPr>
        <w:t>www.comprasgovernamentais.gov.b</w:t>
      </w:r>
      <w:r>
        <w:rPr>
          <w:rStyle w:val="18"/>
          <w:rFonts w:hint="default" w:ascii="Arial" w:hAnsi="Arial" w:cs="Arial"/>
          <w:color w:val="0000FF"/>
          <w:sz w:val="21"/>
          <w:szCs w:val="21"/>
          <w:lang w:val="pt-BR"/>
        </w:rPr>
        <w:t>r</w:t>
      </w:r>
      <w:r>
        <w:rPr>
          <w:rFonts w:hint="default" w:ascii="Arial" w:hAnsi="Arial" w:cs="Arial"/>
          <w:color w:val="0000FF"/>
          <w:sz w:val="21"/>
          <w:szCs w:val="21"/>
        </w:rPr>
        <w:fldChar w:fldCharType="end"/>
      </w:r>
      <w:r>
        <w:rPr>
          <w:rFonts w:hint="default" w:ascii="Arial" w:hAnsi="Arial" w:cs="Arial"/>
          <w:color w:val="0000FF"/>
          <w:sz w:val="21"/>
          <w:szCs w:val="21"/>
          <w:lang w:val="pt-BR"/>
        </w:rPr>
        <w:t xml:space="preserve"> </w:t>
      </w:r>
    </w:p>
    <w:p>
      <w:pPr>
        <w:pStyle w:val="39"/>
        <w:rPr>
          <w:rFonts w:hint="default" w:ascii="Arial" w:hAnsi="Arial" w:cs="Arial"/>
          <w:sz w:val="21"/>
          <w:szCs w:val="21"/>
        </w:rPr>
      </w:pPr>
      <w:r>
        <w:rPr>
          <w:rFonts w:hint="default" w:ascii="Arial" w:hAnsi="Arial" w:cs="Arial"/>
          <w:sz w:val="21"/>
          <w:szCs w:val="21"/>
        </w:rPr>
        <w:t>DO OBJETO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sz w:val="21"/>
          <w:szCs w:val="21"/>
        </w:rPr>
      </w:pPr>
      <w:r>
        <w:rPr>
          <w:rFonts w:hint="default" w:ascii="Arial" w:hAnsi="Arial" w:cs="Arial"/>
          <w:color w:val="000000" w:themeColor="text1"/>
          <w:sz w:val="21"/>
          <w:szCs w:val="21"/>
          <w14:textFill>
            <w14:solidFill>
              <w14:schemeClr w14:val="tx1"/>
            </w14:solidFill>
          </w14:textFill>
        </w:rPr>
        <w:t xml:space="preserve">O objeto da presente licitação é a escolha da proposta mais vantajosa para a </w:t>
      </w:r>
      <w:r>
        <w:rPr>
          <w:rFonts w:hint="default" w:ascii="Arial" w:hAnsi="Arial"/>
          <w:color w:val="000000" w:themeColor="text1"/>
          <w:sz w:val="21"/>
          <w:szCs w:val="21"/>
          <w14:textFill>
            <w14:solidFill>
              <w14:schemeClr w14:val="tx1"/>
            </w14:solidFill>
          </w14:textFill>
        </w:rPr>
        <w:t>contratação de serviços de empresa</w:t>
      </w:r>
      <w:r>
        <w:rPr>
          <w:rFonts w:hint="default" w:ascii="Arial" w:hAnsi="Arial"/>
          <w:color w:val="000000" w:themeColor="text1"/>
          <w:sz w:val="21"/>
          <w:szCs w:val="21"/>
          <w:lang w:val="pt-BR"/>
          <w14:textFill>
            <w14:solidFill>
              <w14:schemeClr w14:val="tx1"/>
            </w14:solidFill>
          </w14:textFill>
        </w:rPr>
        <w:t xml:space="preserve"> especializada,</w:t>
      </w:r>
      <w:r>
        <w:rPr>
          <w:rFonts w:hint="default" w:ascii="Arial" w:hAnsi="Arial"/>
          <w:color w:val="000000" w:themeColor="text1"/>
          <w:sz w:val="21"/>
          <w:szCs w:val="21"/>
          <w14:textFill>
            <w14:solidFill>
              <w14:schemeClr w14:val="tx1"/>
            </w14:solidFill>
          </w14:textFill>
        </w:rPr>
        <w:t xml:space="preserve"> para exploração e operação comercial de serviços de alimentação coletiva, para o fornecimento de refeições preparadas, alimentos pré-processados, </w:t>
      </w:r>
      <w:r>
        <w:rPr>
          <w:rFonts w:hint="default" w:ascii="Arial" w:hAnsi="Arial"/>
          <w:i/>
          <w:iCs/>
          <w:color w:val="000000" w:themeColor="text1"/>
          <w:sz w:val="21"/>
          <w:szCs w:val="21"/>
          <w14:textFill>
            <w14:solidFill>
              <w14:schemeClr w14:val="tx1"/>
            </w14:solidFill>
          </w14:textFill>
        </w:rPr>
        <w:t>in natura</w:t>
      </w:r>
      <w:r>
        <w:rPr>
          <w:rFonts w:hint="default" w:ascii="Arial" w:hAnsi="Arial"/>
          <w:color w:val="000000" w:themeColor="text1"/>
          <w:sz w:val="21"/>
          <w:szCs w:val="21"/>
          <w14:textFill>
            <w14:solidFill>
              <w14:schemeClr w14:val="tx1"/>
            </w14:solidFill>
          </w14:textFill>
        </w:rPr>
        <w:t>, industrializados, dentre outros, associado à concessão de uso de área(s) física(s) e instalações próprias do Instituto Federal da Paraíba, para a exploração comercial dos serviços de restaurante e</w:t>
      </w:r>
      <w:r>
        <w:rPr>
          <w:rFonts w:hint="default" w:ascii="Arial" w:hAnsi="Arial"/>
          <w:color w:val="000000" w:themeColor="text1"/>
          <w:sz w:val="21"/>
          <w:szCs w:val="21"/>
          <w:lang w:val="pt-BR"/>
          <w14:textFill>
            <w14:solidFill>
              <w14:schemeClr w14:val="tx1"/>
            </w14:solidFill>
          </w14:textFill>
        </w:rPr>
        <w:t xml:space="preserve"> ou</w:t>
      </w:r>
      <w:r>
        <w:rPr>
          <w:rFonts w:hint="default" w:ascii="Arial" w:hAnsi="Arial"/>
          <w:color w:val="000000" w:themeColor="text1"/>
          <w:sz w:val="21"/>
          <w:szCs w:val="21"/>
          <w14:textFill>
            <w14:solidFill>
              <w14:schemeClr w14:val="tx1"/>
            </w14:solidFill>
          </w14:textFill>
        </w:rPr>
        <w:t xml:space="preserve"> lanchonete</w:t>
      </w:r>
      <w:r>
        <w:rPr>
          <w:rFonts w:hint="default" w:ascii="Arial" w:hAnsi="Arial" w:cs="Arial"/>
          <w:b/>
          <w:bCs/>
          <w:color w:val="000000" w:themeColor="text1"/>
          <w:sz w:val="21"/>
          <w:szCs w:val="21"/>
          <w14:textFill>
            <w14:solidFill>
              <w14:schemeClr w14:val="tx1"/>
            </w14:solidFill>
          </w14:textFill>
        </w:rPr>
        <w:t>,</w:t>
      </w:r>
      <w:r>
        <w:rPr>
          <w:rFonts w:hint="default" w:ascii="Arial" w:hAnsi="Arial" w:cs="Arial"/>
          <w:color w:val="000000" w:themeColor="text1"/>
          <w:sz w:val="21"/>
          <w:szCs w:val="21"/>
          <w14:textFill>
            <w14:solidFill>
              <w14:schemeClr w14:val="tx1"/>
            </w14:solidFill>
          </w14:textFill>
        </w:rPr>
        <w:t xml:space="preserve"> conforme condições, quantidades e exigências estabelecidas neste Edital e seus anexos.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pPr>
        <w:pStyle w:val="43"/>
        <w:keepNext w:val="0"/>
        <w:pageBreakBefore w:val="0"/>
        <w:widowControl/>
        <w:numPr>
          <w:ilvl w:val="1"/>
          <w:numId w:val="2"/>
        </w:numPr>
        <w:shd w:val="clear" w:color="auto" w:fill="auto"/>
        <w:kinsoku/>
        <w:wordWrap/>
        <w:overflowPunct/>
        <w:topLinePunct w:val="0"/>
        <w:autoSpaceDE/>
        <w:autoSpaceDN/>
        <w:bidi w:val="0"/>
        <w:adjustRightInd/>
        <w:snapToGrid/>
        <w:spacing w:before="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O critério de julgamento adotado será o menor preço</w:t>
      </w:r>
      <w:r>
        <w:rPr>
          <w:rFonts w:hint="default" w:ascii="Arial" w:hAnsi="Arial" w:cs="Arial"/>
          <w:color w:val="000000" w:themeColor="text1"/>
          <w:sz w:val="21"/>
          <w:szCs w:val="21"/>
          <w:lang w:val="pt-BR"/>
          <w14:textFill>
            <w14:solidFill>
              <w14:schemeClr w14:val="tx1"/>
            </w14:solidFill>
          </w14:textFill>
        </w:rPr>
        <w:t xml:space="preserve"> </w:t>
      </w:r>
      <w:r>
        <w:rPr>
          <w:rFonts w:hint="default" w:ascii="Arial" w:hAnsi="Arial" w:cs="Arial"/>
          <w:color w:val="000000" w:themeColor="text1"/>
          <w:sz w:val="21"/>
          <w:szCs w:val="21"/>
          <w14:textFill>
            <w14:solidFill>
              <w14:schemeClr w14:val="tx1"/>
            </w14:solidFill>
          </w14:textFill>
        </w:rPr>
        <w:t>GLOBAL do grupo, observadas as exigências contidas neste Edital e seus Anexos quanto às especificações do objeto.</w:t>
      </w:r>
    </w:p>
    <w:p>
      <w:pPr>
        <w:pageBreakBefore w:val="0"/>
        <w:widowControl/>
        <w:kinsoku/>
        <w:wordWrap/>
        <w:overflowPunct/>
        <w:topLinePunct w:val="0"/>
        <w:autoSpaceDE/>
        <w:autoSpaceDN/>
        <w:bidi w:val="0"/>
        <w:adjustRightInd/>
        <w:snapToGrid/>
        <w:spacing w:after="120"/>
        <w:rPr>
          <w:rFonts w:hint="default" w:ascii="Arial" w:hAnsi="Arial" w:cs="Arial"/>
          <w:i/>
          <w:color w:val="FF0000"/>
          <w:sz w:val="21"/>
          <w:szCs w:val="21"/>
        </w:rPr>
      </w:pPr>
    </w:p>
    <w:p>
      <w:pPr>
        <w:pStyle w:val="39"/>
        <w:pageBreakBefore w:val="0"/>
        <w:widowControl/>
        <w:kinsoku/>
        <w:wordWrap/>
        <w:overflowPunct/>
        <w:topLinePunct w:val="0"/>
        <w:autoSpaceDE/>
        <w:autoSpaceDN/>
        <w:bidi w:val="0"/>
        <w:adjustRightInd/>
        <w:snapToGrid/>
        <w:spacing w:before="0" w:after="120"/>
        <w:rPr>
          <w:rFonts w:hint="default" w:ascii="Arial" w:hAnsi="Arial" w:cs="Arial"/>
          <w:sz w:val="21"/>
          <w:szCs w:val="21"/>
        </w:rPr>
      </w:pPr>
      <w:r>
        <w:rPr>
          <w:rFonts w:hint="default" w:ascii="Arial" w:hAnsi="Arial" w:cs="Arial"/>
          <w:sz w:val="21"/>
          <w:szCs w:val="21"/>
        </w:rPr>
        <w:t xml:space="preserve">DO REGISTRO DE PREÇOS </w:t>
      </w:r>
    </w:p>
    <w:p>
      <w:pPr>
        <w:pStyle w:val="43"/>
        <w:keepNext w:val="0"/>
        <w:pageBreakBefore w:val="0"/>
        <w:widowControl/>
        <w:numPr>
          <w:ilvl w:val="1"/>
          <w:numId w:val="2"/>
        </w:numPr>
        <w:shd w:val="clear" w:color="auto" w:fill="auto"/>
        <w:kinsoku/>
        <w:wordWrap/>
        <w:overflowPunct/>
        <w:topLinePunct w:val="0"/>
        <w:autoSpaceDE/>
        <w:autoSpaceDN/>
        <w:bidi w:val="0"/>
        <w:adjustRightInd/>
        <w:snapToGrid/>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As regras referentes aos órgãos gerenciador e participantes, bem como a eventuais adesões são as que constam da minuta de Ata de Registro de Preços.</w:t>
      </w:r>
    </w:p>
    <w:p>
      <w:pPr>
        <w:pStyle w:val="39"/>
        <w:pageBreakBefore w:val="0"/>
        <w:widowControl/>
        <w:kinsoku/>
        <w:wordWrap/>
        <w:overflowPunct/>
        <w:topLinePunct w:val="0"/>
        <w:autoSpaceDE/>
        <w:autoSpaceDN/>
        <w:bidi w:val="0"/>
        <w:adjustRightInd/>
        <w:snapToGrid/>
        <w:rPr>
          <w:rFonts w:hint="default" w:ascii="Arial" w:hAnsi="Arial" w:cs="Arial"/>
          <w:sz w:val="21"/>
          <w:szCs w:val="21"/>
        </w:rPr>
      </w:pPr>
      <w:r>
        <w:rPr>
          <w:rFonts w:hint="default" w:ascii="Arial" w:hAnsi="Arial" w:cs="Arial"/>
          <w:sz w:val="21"/>
          <w:szCs w:val="21"/>
        </w:rPr>
        <w:t>DO CREDENCIAMENTO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O Credenciamento é o nível básico do registro cadastral no SICAF, que permite a participação dos interessados na modalidade licitatória Pregão, em sua forma eletrônica.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 xml:space="preserve">O cadastro no SICAF deverá ser feito no Portal de Compras do Governo Federal, no sítio </w:t>
      </w:r>
      <w:r>
        <w:rPr>
          <w:rStyle w:val="18"/>
          <w:rFonts w:hint="default" w:ascii="Arial" w:hAnsi="Arial" w:eastAsia="Times New Roman" w:cs="Arial"/>
          <w:color w:val="0000FF"/>
          <w:sz w:val="21"/>
          <w:szCs w:val="21"/>
          <w:lang w:val="pt-BR" w:eastAsia="pt-BR" w:bidi="ar-SA"/>
        </w:rPr>
        <w:fldChar w:fldCharType="begin"/>
      </w:r>
      <w:r>
        <w:rPr>
          <w:rStyle w:val="18"/>
          <w:rFonts w:hint="default" w:ascii="Arial" w:hAnsi="Arial" w:eastAsia="Times New Roman" w:cs="Arial"/>
          <w:color w:val="0000FF"/>
          <w:sz w:val="21"/>
          <w:szCs w:val="21"/>
          <w:lang w:val="pt-BR" w:eastAsia="pt-BR" w:bidi="ar-SA"/>
        </w:rPr>
        <w:instrText xml:space="preserve"> HYPERLINK "https://imsva91-ctp.trendmicro.com/wis/clicktime/v1/query?url=http%3a%2f%2fwww.comprasgovernamentais.gov.br&amp;umid=430E31AC-70A7-6B05-9AA8-F59BA4DC8B50&amp;auth=14cd2a61769b426d6a6f0362faa35895243d54fa-6e2197056396482feb6896ce169217ee94d7ae2f" \h </w:instrText>
      </w:r>
      <w:r>
        <w:rPr>
          <w:rStyle w:val="18"/>
          <w:rFonts w:hint="default" w:ascii="Arial" w:hAnsi="Arial" w:eastAsia="Times New Roman" w:cs="Arial"/>
          <w:color w:val="0000FF"/>
          <w:sz w:val="21"/>
          <w:szCs w:val="21"/>
          <w:lang w:val="pt-BR" w:eastAsia="pt-BR" w:bidi="ar-SA"/>
        </w:rPr>
        <w:fldChar w:fldCharType="separate"/>
      </w:r>
      <w:r>
        <w:rPr>
          <w:rStyle w:val="18"/>
          <w:rFonts w:hint="default" w:ascii="Arial" w:hAnsi="Arial" w:eastAsia="Times New Roman" w:cs="Arial"/>
          <w:color w:val="0000FF"/>
          <w:sz w:val="21"/>
          <w:szCs w:val="21"/>
          <w:lang w:val="pt-BR" w:eastAsia="pt-BR" w:bidi="ar-SA"/>
        </w:rPr>
        <w:t>www.comprasgovernamentais.gov.br</w:t>
      </w:r>
      <w:r>
        <w:rPr>
          <w:rStyle w:val="18"/>
          <w:rFonts w:hint="default" w:ascii="Arial" w:hAnsi="Arial" w:eastAsia="Times New Roman" w:cs="Arial"/>
          <w:color w:val="0000FF"/>
          <w:sz w:val="21"/>
          <w:szCs w:val="21"/>
          <w:lang w:val="pt-BR" w:eastAsia="pt-BR" w:bidi="ar-SA"/>
        </w:rPr>
        <w:fldChar w:fldCharType="end"/>
      </w:r>
      <w:r>
        <w:rPr>
          <w:rStyle w:val="18"/>
          <w:rFonts w:hint="default" w:ascii="Arial" w:hAnsi="Arial" w:eastAsia="Times New Roman" w:cs="Arial"/>
          <w:sz w:val="21"/>
          <w:szCs w:val="21"/>
          <w:lang w:val="pt-BR" w:eastAsia="pt-BR" w:bidi="ar-SA"/>
        </w:rPr>
        <w:t>,</w:t>
      </w:r>
      <w:r>
        <w:rPr>
          <w:rFonts w:hint="default" w:ascii="Arial" w:hAnsi="Arial" w:cs="Arial"/>
          <w:color w:val="000000" w:themeColor="text1"/>
          <w:sz w:val="21"/>
          <w:szCs w:val="21"/>
          <w14:textFill>
            <w14:solidFill>
              <w14:schemeClr w14:val="tx1"/>
            </w14:solidFill>
          </w14:textFill>
        </w:rPr>
        <w:t xml:space="preserve"> por meio de certificado digital conferido pela Infraestrutura de Chaves Públicas Brasileira – ICP - Brasil.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O credenciamento junto ao provedor do sis</w:t>
      </w:r>
      <w:bookmarkStart w:id="9" w:name="_GoBack"/>
      <w:bookmarkEnd w:id="9"/>
      <w:r>
        <w:rPr>
          <w:rFonts w:hint="default" w:ascii="Arial" w:hAnsi="Arial" w:cs="Arial"/>
          <w:color w:val="000000" w:themeColor="text1"/>
          <w:sz w:val="21"/>
          <w:szCs w:val="21"/>
          <w14:textFill>
            <w14:solidFill>
              <w14:schemeClr w14:val="tx1"/>
            </w14:solidFill>
          </w14:textFill>
        </w:rPr>
        <w:t>tema implica a responsabilidade do licitante ou de seu representante legal e a presunção de sua capacidade técnica para realização das transações inerentes a este Pregão.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não observância do disposto no subitem anterior poderá ensejar desclassificação no momento da habilitação</w:t>
      </w:r>
    </w:p>
    <w:p>
      <w:pPr>
        <w:pStyle w:val="39"/>
        <w:rPr>
          <w:rFonts w:hint="default" w:ascii="Arial" w:hAnsi="Arial" w:cs="Arial"/>
          <w:sz w:val="21"/>
          <w:szCs w:val="21"/>
        </w:rPr>
      </w:pPr>
      <w:r>
        <w:rPr>
          <w:rFonts w:hint="default" w:ascii="Arial" w:hAnsi="Arial" w:cs="Arial"/>
          <w:sz w:val="21"/>
          <w:szCs w:val="21"/>
        </w:rPr>
        <w:t xml:space="preserve"> DA PARTICIPAÇÃO NO PREGÃO.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sz w:val="21"/>
          <w:szCs w:val="21"/>
        </w:rPr>
      </w:pPr>
      <w:r>
        <w:rPr>
          <w:rFonts w:hint="default" w:ascii="Arial" w:hAnsi="Arial" w:cs="Arial"/>
          <w:color w:val="000000" w:themeColor="text1"/>
          <w:sz w:val="21"/>
          <w:szCs w:val="21"/>
          <w:lang w:eastAsia="en-US"/>
          <w14:textFill>
            <w14:solidFill>
              <w14:schemeClr w14:val="tx1"/>
            </w14:solidFill>
          </w14:textFill>
        </w:rPr>
        <w:t xml:space="preserve">Poderão participar deste Pregão interessados cujo ramo de atividade seja compatível com o objeto desta licitação, e que estejam com Credenciamento regular no Sistema de Cadastramento Unificado de Fornecedores – SICAF, conforme disposto no art. 9º da IN SEGES/MP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3, de 2018.</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Os licitantes deverão utilizar o certificado digital para acesso ao Sistema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Não poderão participar desta licitação os interessados: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proibidos de participar de licitações e celebrar contratos administrativos, na forma da legislação vigente;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que não atendam às condições deste Edital e seu(s) anexo(s);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estrangeiros que não tenham representação legal no Brasil com poderes expressos para receber citação e responder administrativa ou judicialmente;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 xml:space="preserve">que se enquadrem nas vedações previstas no artigo 9º da Lei </w:t>
      </w:r>
      <w:r>
        <w:rPr>
          <w:rFonts w:hint="default" w:ascii="Arial" w:hAnsi="Arial" w:cs="Arial"/>
          <w:color w:val="000000"/>
          <w:sz w:val="21"/>
          <w:szCs w:val="21"/>
          <w:lang w:val="pt-BR"/>
        </w:rPr>
        <w:t>n.°</w:t>
      </w:r>
      <w:r>
        <w:rPr>
          <w:rFonts w:hint="default" w:ascii="Arial" w:hAnsi="Arial" w:cs="Arial"/>
          <w:color w:val="000000"/>
          <w:sz w:val="21"/>
          <w:szCs w:val="21"/>
        </w:rPr>
        <w:t xml:space="preserve"> 8.666, de 1993;</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bookmarkStart w:id="0" w:name="_Hlk519667653"/>
      <w:r>
        <w:rPr>
          <w:rFonts w:hint="default" w:ascii="Arial" w:hAnsi="Arial" w:cs="Arial"/>
          <w:color w:val="000000"/>
          <w:sz w:val="21"/>
          <w:szCs w:val="21"/>
        </w:rPr>
        <w:t>que estejam sob falência, concurso de credores ou insolvência, em processo de dissolução ou liquidação;</w:t>
      </w:r>
      <w:bookmarkEnd w:id="0"/>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entidades empresariais que estejam reunidas em consórcio;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 xml:space="preserve">organizações da Sociedade Civil de Interesse Público - OSCIP, atuando nessa condição (Acórdão </w:t>
      </w:r>
      <w:r>
        <w:rPr>
          <w:rFonts w:hint="default" w:ascii="Arial" w:hAnsi="Arial" w:cs="Arial"/>
          <w:color w:val="000000"/>
          <w:sz w:val="21"/>
          <w:szCs w:val="21"/>
          <w:lang w:val="pt-BR"/>
        </w:rPr>
        <w:t>n.°</w:t>
      </w:r>
      <w:r>
        <w:rPr>
          <w:rFonts w:hint="default" w:ascii="Arial" w:hAnsi="Arial" w:cs="Arial"/>
          <w:color w:val="000000"/>
          <w:sz w:val="21"/>
          <w:szCs w:val="21"/>
        </w:rPr>
        <w:t xml:space="preserve"> 746/2014-TCU-Plenário);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 xml:space="preserve">instituições sem fins lucrativos (parágrafo único do art. 12 da Instrução Normativa/SEGES </w:t>
      </w:r>
      <w:r>
        <w:rPr>
          <w:rFonts w:hint="default" w:ascii="Arial" w:hAnsi="Arial" w:cs="Arial"/>
          <w:color w:val="000000"/>
          <w:sz w:val="21"/>
          <w:szCs w:val="21"/>
          <w:lang w:val="pt-BR"/>
        </w:rPr>
        <w:t>n.°</w:t>
      </w:r>
      <w:r>
        <w:rPr>
          <w:rFonts w:hint="default" w:ascii="Arial" w:hAnsi="Arial" w:cs="Arial"/>
          <w:color w:val="000000"/>
          <w:sz w:val="21"/>
          <w:szCs w:val="21"/>
        </w:rPr>
        <w:t xml:space="preserve"> 05/2017)</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sz w:val="21"/>
          <w:szCs w:val="21"/>
        </w:rPr>
      </w:pPr>
      <w:r>
        <w:rPr>
          <w:rFonts w:hint="default" w:ascii="Arial" w:hAnsi="Arial" w:cs="Arial"/>
          <w:color w:val="000000"/>
          <w:sz w:val="21"/>
          <w:szCs w:val="21"/>
        </w:rPr>
        <w:t xml:space="preserve">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w:t>
      </w:r>
      <w:r>
        <w:rPr>
          <w:rFonts w:hint="default" w:ascii="Arial" w:hAnsi="Arial" w:cs="Arial"/>
          <w:color w:val="000000"/>
          <w:sz w:val="21"/>
          <w:szCs w:val="21"/>
          <w:lang w:val="pt-BR"/>
        </w:rPr>
        <w:t>n.°</w:t>
      </w:r>
      <w:r>
        <w:rPr>
          <w:rFonts w:hint="default" w:ascii="Arial" w:hAnsi="Arial" w:cs="Arial"/>
          <w:color w:val="000000"/>
          <w:sz w:val="21"/>
          <w:szCs w:val="21"/>
        </w:rPr>
        <w:t xml:space="preserve"> 1.406/2017- TCU-Plenário), mediante apresentação do Contrato de Gestão e dos respectivos atos constitutivos.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bookmarkStart w:id="1" w:name="_Hlk519667815"/>
      <w:r>
        <w:rPr>
          <w:rFonts w:hint="default" w:ascii="Arial" w:hAnsi="Arial" w:cs="Arial"/>
          <w:color w:val="000000"/>
          <w:sz w:val="21"/>
          <w:szCs w:val="21"/>
        </w:rPr>
        <w:t xml:space="preserve">sociedades cooperativas, considerando a vedação contida no art. 10 da Instrução Normativa SEGES/MP </w:t>
      </w:r>
      <w:r>
        <w:rPr>
          <w:rFonts w:hint="default" w:ascii="Arial" w:hAnsi="Arial" w:cs="Arial"/>
          <w:color w:val="000000"/>
          <w:sz w:val="21"/>
          <w:szCs w:val="21"/>
          <w:lang w:val="pt-BR"/>
        </w:rPr>
        <w:t>n.°</w:t>
      </w:r>
      <w:r>
        <w:rPr>
          <w:rFonts w:hint="default" w:ascii="Arial" w:hAnsi="Arial" w:cs="Arial"/>
          <w:color w:val="000000"/>
          <w:sz w:val="21"/>
          <w:szCs w:val="21"/>
        </w:rPr>
        <w:t xml:space="preserve"> 5, de 2017.</w:t>
      </w:r>
    </w:p>
    <w:bookmarkEnd w:id="1"/>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Nos termos do art. 5º do Decreto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9.507, de 2018, é vedada a contratação de pessoa jurídica na qual haja administrador ou sócio com poder de direção, familiar de:</w:t>
      </w:r>
    </w:p>
    <w:p>
      <w:pPr>
        <w:pStyle w:val="55"/>
        <w:numPr>
          <w:ilvl w:val="0"/>
          <w:numId w:val="4"/>
        </w:numPr>
        <w:shd w:val="clear" w:color="auto" w:fill="FFFFFF" w:themeFill="background1"/>
        <w:tabs>
          <w:tab w:val="left" w:pos="1400"/>
          <w:tab w:val="clear" w:pos="425"/>
        </w:tabs>
        <w:spacing w:before="119" w:beforeAutospacing="0" w:after="119" w:afterAutospacing="0" w:line="276" w:lineRule="auto"/>
        <w:ind w:left="1400" w:leftChars="0" w:hanging="425" w:firstLineChars="0"/>
        <w:jc w:val="both"/>
        <w:rPr>
          <w:rFonts w:hint="default" w:ascii="Arial" w:hAnsi="Arial" w:cs="Arial"/>
          <w:color w:val="auto"/>
          <w:sz w:val="21"/>
          <w:szCs w:val="21"/>
        </w:rPr>
      </w:pPr>
      <w:r>
        <w:rPr>
          <w:rFonts w:hint="default" w:ascii="Arial" w:hAnsi="Arial" w:cs="Arial"/>
          <w:color w:val="auto"/>
          <w:sz w:val="21"/>
          <w:szCs w:val="21"/>
          <w:shd w:val="clear" w:color="auto" w:fill="FFFFFF"/>
        </w:rPr>
        <w:t>detentor de cargo em comissão ou função de confiança que atue na área responsável pela demanda ou contratação; ou</w:t>
      </w:r>
    </w:p>
    <w:p>
      <w:pPr>
        <w:pStyle w:val="55"/>
        <w:numPr>
          <w:ilvl w:val="0"/>
          <w:numId w:val="4"/>
        </w:numPr>
        <w:shd w:val="clear" w:color="auto" w:fill="FFFFFF" w:themeFill="background1"/>
        <w:tabs>
          <w:tab w:val="left" w:pos="1400"/>
          <w:tab w:val="clear" w:pos="425"/>
        </w:tabs>
        <w:spacing w:before="119" w:beforeAutospacing="0" w:after="119" w:afterAutospacing="0" w:line="276" w:lineRule="auto"/>
        <w:ind w:left="1400" w:leftChars="0" w:hanging="425" w:firstLineChars="0"/>
        <w:jc w:val="both"/>
        <w:rPr>
          <w:rFonts w:hint="default" w:ascii="Arial" w:hAnsi="Arial" w:cs="Arial"/>
          <w:color w:val="auto"/>
          <w:sz w:val="21"/>
          <w:szCs w:val="21"/>
        </w:rPr>
      </w:pPr>
      <w:r>
        <w:rPr>
          <w:rFonts w:hint="default" w:ascii="Arial" w:hAnsi="Arial" w:cs="Arial"/>
          <w:color w:val="auto"/>
          <w:sz w:val="21"/>
          <w:szCs w:val="21"/>
          <w:shd w:val="clear" w:color="auto" w:fill="FFFFFF"/>
        </w:rPr>
        <w:t>de autoridade hierarquicamente superior no âmbito do órgão contratante.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 xml:space="preserve">Para os fins do disposto neste item, considera-se familiar o cônjuge, o companheiro ou o parente em linha reta ou colateral, por consanguinidade ou afinidade, até o terceiro grau (Súmula Vinculante/STF </w:t>
      </w:r>
      <w:r>
        <w:rPr>
          <w:rFonts w:hint="default" w:ascii="Arial" w:hAnsi="Arial" w:cs="Arial"/>
          <w:color w:val="000000"/>
          <w:sz w:val="21"/>
          <w:szCs w:val="21"/>
          <w:lang w:val="pt-BR"/>
        </w:rPr>
        <w:t>n.°</w:t>
      </w:r>
      <w:r>
        <w:rPr>
          <w:rFonts w:hint="default" w:ascii="Arial" w:hAnsi="Arial" w:cs="Arial"/>
          <w:color w:val="000000"/>
          <w:sz w:val="21"/>
          <w:szCs w:val="21"/>
        </w:rPr>
        <w:t xml:space="preserve"> 13, art. 5º, inciso V, da Lei </w:t>
      </w:r>
      <w:r>
        <w:rPr>
          <w:rFonts w:hint="default" w:ascii="Arial" w:hAnsi="Arial" w:cs="Arial"/>
          <w:color w:val="000000"/>
          <w:sz w:val="21"/>
          <w:szCs w:val="21"/>
          <w:lang w:val="pt-BR"/>
        </w:rPr>
        <w:t>n.°</w:t>
      </w:r>
      <w:r>
        <w:rPr>
          <w:rFonts w:hint="default" w:ascii="Arial" w:hAnsi="Arial" w:cs="Arial"/>
          <w:color w:val="000000"/>
          <w:sz w:val="21"/>
          <w:szCs w:val="21"/>
        </w:rPr>
        <w:t xml:space="preserve"> 12.813, de 16 de maio de 2013 e art. 2º, inciso III, do Decreto n.º 7.203, de 04 de junho de 2010);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Nos termos do art. 7° do Decreto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7.203, de 2010, é vedada, ainda, a utilização, na execução dos serviços contratados, de empregado da futura Contratada que seja familiar de agente público ocupante de cargo em comissão ou função de confiança neste órgão contratante.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Como condição para participação no Pregão, o licitante assinalará “sim” ou “não” em campo próprio do sistema eletrônico, relativo às seguintes declarações: </w:t>
      </w:r>
    </w:p>
    <w:p>
      <w:pPr>
        <w:pStyle w:val="21"/>
        <w:numPr>
          <w:ilvl w:val="0"/>
          <w:numId w:val="5"/>
        </w:numPr>
        <w:tabs>
          <w:tab w:val="left" w:pos="1440"/>
        </w:tabs>
        <w:autoSpaceDE w:val="0"/>
        <w:snapToGrid w:val="0"/>
        <w:spacing w:before="120" w:after="120" w:line="276" w:lineRule="auto"/>
        <w:jc w:val="both"/>
        <w:rPr>
          <w:rFonts w:hint="default" w:ascii="Arial" w:hAnsi="Arial" w:cs="Arial"/>
          <w:bCs/>
          <w:vanish/>
          <w:color w:val="000000"/>
          <w:sz w:val="21"/>
          <w:szCs w:val="21"/>
        </w:rPr>
      </w:pPr>
    </w:p>
    <w:p>
      <w:pPr>
        <w:pStyle w:val="21"/>
        <w:numPr>
          <w:ilvl w:val="1"/>
          <w:numId w:val="5"/>
        </w:numPr>
        <w:tabs>
          <w:tab w:val="left" w:pos="1440"/>
        </w:tabs>
        <w:autoSpaceDE w:val="0"/>
        <w:snapToGrid w:val="0"/>
        <w:spacing w:before="120" w:after="120" w:line="276" w:lineRule="auto"/>
        <w:jc w:val="both"/>
        <w:rPr>
          <w:rFonts w:hint="default" w:ascii="Arial" w:hAnsi="Arial" w:cs="Arial"/>
          <w:bCs/>
          <w:vanish/>
          <w:color w:val="000000"/>
          <w:sz w:val="21"/>
          <w:szCs w:val="21"/>
        </w:rPr>
      </w:pPr>
    </w:p>
    <w:p>
      <w:pPr>
        <w:pStyle w:val="21"/>
        <w:numPr>
          <w:ilvl w:val="1"/>
          <w:numId w:val="5"/>
        </w:numPr>
        <w:tabs>
          <w:tab w:val="left" w:pos="1440"/>
        </w:tabs>
        <w:autoSpaceDE w:val="0"/>
        <w:snapToGrid w:val="0"/>
        <w:spacing w:before="120" w:after="120" w:line="276" w:lineRule="auto"/>
        <w:jc w:val="both"/>
        <w:rPr>
          <w:rFonts w:hint="default" w:ascii="Arial" w:hAnsi="Arial" w:cs="Arial"/>
          <w:bCs/>
          <w:vanish/>
          <w:color w:val="000000"/>
          <w:sz w:val="21"/>
          <w:szCs w:val="21"/>
        </w:rPr>
      </w:pPr>
    </w:p>
    <w:p>
      <w:pPr>
        <w:pStyle w:val="21"/>
        <w:numPr>
          <w:ilvl w:val="1"/>
          <w:numId w:val="5"/>
        </w:numPr>
        <w:tabs>
          <w:tab w:val="left" w:pos="1440"/>
        </w:tabs>
        <w:autoSpaceDE w:val="0"/>
        <w:snapToGrid w:val="0"/>
        <w:spacing w:before="120" w:after="120" w:line="276" w:lineRule="auto"/>
        <w:jc w:val="both"/>
        <w:rPr>
          <w:rFonts w:hint="default" w:ascii="Arial" w:hAnsi="Arial" w:cs="Arial"/>
          <w:bCs/>
          <w:vanish/>
          <w:color w:val="000000"/>
          <w:sz w:val="21"/>
          <w:szCs w:val="21"/>
        </w:rPr>
      </w:pP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que cumpre os requisitos estabelecidos no artigo 3° da Lei Complementar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123, de 2006, estando apto a usufruir do tratamento favorecido estabelecido em seus arts. 42 a 49.</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nos itens exclusivos para participação de microempresas e empresas de pequeno porte, a assinalação do campo “não” impedirá o prosseguimento no certame;</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nos itens em que a participação não for exclusiva para microempresas e empresas de pequeno porte, a assinalação do campo “não” apenas produzirá o efeito de o licitante não ter direito ao tratamento favorecido previsto na Lei Complementar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123, de 2006, mesmo que microempresa, empresa de pequeno porte ou sociedade cooperativa.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que está ciente e concorda com as condições contidas no Edital e seus anexos;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que cumpre os requisitos para a habilitação definidos no Edital e que a proposta apresentada está em conformidade com as exigências editalícias;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que inexistem fatos impeditivos para sua habilitação no certame, ciente da obrigatoriedade de declarar ocorrências posteriores;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que não emprega menor de 18 anos em trabalho noturno, perigoso ou insalubre e não emprega menor de 16 anos, salvo menor, a partir de 14 anos, na condição de aprendiz, nos termos do artigo 7°, XXXIII, da Constituição;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que a proposta foi elaborada de forma independente, nos termos da Instrução Normativa SLTI/MP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2, de 16 de setembro de 2009.</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 que não possui, em sua cadeia produtiva, empregados executando trabalho degradante ou forçado, observando o disposto nos incisos III e IV do art. 1º e no inciso III do art. 5º da Constituição Federal;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8.213, de 24 de julho de 1991.</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declaração falsa relativa ao cumprimento de qualquer condição sujeitará o licitante às sanções previstas em lei e neste Edital.</w:t>
      </w:r>
    </w:p>
    <w:p>
      <w:pPr>
        <w:pStyle w:val="39"/>
        <w:rPr>
          <w:rFonts w:hint="default" w:ascii="Arial" w:hAnsi="Arial" w:cs="Arial"/>
          <w:sz w:val="21"/>
          <w:szCs w:val="21"/>
        </w:rPr>
      </w:pPr>
      <w:r>
        <w:rPr>
          <w:rFonts w:hint="default" w:ascii="Arial" w:hAnsi="Arial" w:cs="Arial"/>
          <w:sz w:val="21"/>
          <w:szCs w:val="21"/>
        </w:rPr>
        <w:t>DA APRESENTAÇÃO DA PROPOSTA E DOS DOCUMENTOS DE HABILITAÇÃO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 envio da proposta, acompanhada dos documentos de habilitação exigidos neste Edital, ocorrerá por meio de chave de acesso e senha.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Os licitantes poderão deixar de apresentar os documentos de habilitação que constem do SICAF, assegurado aos demais licitantes o direito de acesso aos dados constantes dos sistemas.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As Microempresas e Empresas de Pequeno Porte deverão encaminhar a documentação de habilitação, ainda que haja alguma restrição de regularidade fiscal e trabalhista, nos termos do art. 43, § 1º da LC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123, de 2006.</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Até a abertura da sessão pública, os licitantes poderão retirar ou substituir a proposta e os documentos de habilitação anteriormente inseridos no sistema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Não será estabelecida, nessa etapa do certame, ordem de classificação entre as propostas apresentadas, o que somente ocorrerá após a realização dos procedimentos de negociação e julgamento da proposta.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Os documentos que compõem a proposta e a habilitação do licitante melhor classificado somente serão disponibilizados para avaliação do pregoeiro e para acesso público após o encerramento do envio de lances.</w:t>
      </w:r>
    </w:p>
    <w:p>
      <w:pPr>
        <w:pStyle w:val="39"/>
        <w:rPr>
          <w:rFonts w:hint="default" w:ascii="Arial" w:hAnsi="Arial" w:cs="Arial"/>
          <w:sz w:val="21"/>
          <w:szCs w:val="21"/>
        </w:rPr>
      </w:pPr>
      <w:r>
        <w:rPr>
          <w:rFonts w:hint="default" w:ascii="Arial" w:hAnsi="Arial" w:cs="Arial"/>
          <w:sz w:val="21"/>
          <w:szCs w:val="21"/>
        </w:rPr>
        <w:t>DO PREENCHIMENTO DA PROPOSTA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 licitante deverá enviar sua proposta mediante o preenchimento, no sistema eletrônico, dos seguintes campos: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valor unitário e total do item;</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 xml:space="preserve">Descrição do objeto, contendo as informações similares à especificação do Termo de Referência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Todas as especificações do objeto contidas na proposta vinculam a Contratada.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w:t>
      </w:r>
      <w:r>
        <w:rPr>
          <w:rFonts w:hint="default" w:ascii="Arial" w:hAnsi="Arial" w:cs="Arial"/>
          <w:color w:val="auto"/>
          <w:sz w:val="21"/>
          <w:szCs w:val="21"/>
          <w:lang w:val="pt-BR" w:eastAsia="en-US"/>
        </w:rPr>
        <w:t>n.°</w:t>
      </w:r>
      <w:r>
        <w:rPr>
          <w:rFonts w:hint="default" w:ascii="Arial" w:hAnsi="Arial" w:cs="Arial"/>
          <w:color w:val="auto"/>
          <w:sz w:val="21"/>
          <w:szCs w:val="21"/>
          <w:lang w:eastAsia="en-US"/>
        </w:rPr>
        <w:t xml:space="preserve"> 8.666, de 1993.</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empresa é a única responsável pela cotação correta dos encargos tributários. Em caso de erro ou cotação incompatível com o regime tributário a que se submete, serão adotadas as orientações a seguir:</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cotação de percentual menor que o adequado: o percentual será mantido durante toda a execução contratual;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cotação de percentual maior que o adequado: o excesso será suprimido, unilateralmente, da planilha e haverá glosa, quando do pagamento, e/ou redução, quando da repactuação, para fins de total ressarcimento do débito.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Independentemente do percentual de tributo inserido na planilha, no pagamento dos serviços, serão retidos na fonte os percentuais estabelecidos na legislação vigente.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O prazo de validade da proposta não será inferior a </w:t>
      </w:r>
      <w:r>
        <w:rPr>
          <w:rFonts w:hint="default" w:ascii="Arial" w:hAnsi="Arial" w:cs="Arial"/>
          <w:b/>
          <w:bCs/>
          <w:i/>
          <w:iCs/>
          <w:color w:val="000000" w:themeColor="text1"/>
          <w:sz w:val="21"/>
          <w:szCs w:val="21"/>
          <w:lang w:val="pt-BR" w:eastAsia="en-US"/>
          <w14:textFill>
            <w14:solidFill>
              <w14:schemeClr w14:val="tx1"/>
            </w14:solidFill>
          </w14:textFill>
        </w:rPr>
        <w:t>60</w:t>
      </w:r>
      <w:r>
        <w:rPr>
          <w:rFonts w:hint="default" w:ascii="Arial" w:hAnsi="Arial" w:cs="Arial"/>
          <w:b/>
          <w:bCs/>
          <w:i/>
          <w:iCs/>
          <w:color w:val="000000" w:themeColor="text1"/>
          <w:sz w:val="21"/>
          <w:szCs w:val="21"/>
          <w:lang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sessenta</w:t>
      </w:r>
      <w:r>
        <w:rPr>
          <w:rFonts w:hint="default" w:ascii="Arial" w:hAnsi="Arial" w:cs="Arial"/>
          <w:b/>
          <w:bCs/>
          <w:i/>
          <w:iCs/>
          <w:color w:val="000000" w:themeColor="text1"/>
          <w:sz w:val="21"/>
          <w:szCs w:val="21"/>
          <w:lang w:eastAsia="en-US"/>
          <w14:textFill>
            <w14:solidFill>
              <w14:schemeClr w14:val="tx1"/>
            </w14:solidFill>
          </w14:textFill>
        </w:rPr>
        <w:t>) dias</w:t>
      </w:r>
      <w:r>
        <w:rPr>
          <w:rFonts w:hint="default" w:ascii="Arial" w:hAnsi="Arial" w:cs="Arial"/>
          <w:color w:val="000000" w:themeColor="text1"/>
          <w:sz w:val="21"/>
          <w:szCs w:val="21"/>
          <w:lang w:eastAsia="en-US"/>
          <w14:textFill>
            <w14:solidFill>
              <w14:schemeClr w14:val="tx1"/>
            </w14:solidFill>
          </w14:textFill>
        </w:rPr>
        <w:t>, a contar da data de sua apresentação.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Os licitantes devem respeitar os preços máximos estabelecidos nas normas de regência de contratações públicas federais, quando participarem de licitações públicas.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pPr>
        <w:pStyle w:val="39"/>
        <w:ind w:left="0" w:leftChars="0" w:firstLine="0" w:firstLineChars="0"/>
        <w:rPr>
          <w:rFonts w:hint="default" w:ascii="Arial" w:hAnsi="Arial" w:cs="Arial"/>
          <w:sz w:val="21"/>
          <w:szCs w:val="21"/>
        </w:rPr>
      </w:pPr>
      <w:r>
        <w:rPr>
          <w:rFonts w:hint="default" w:ascii="Arial" w:hAnsi="Arial" w:cs="Arial"/>
          <w:sz w:val="21"/>
          <w:szCs w:val="21"/>
        </w:rPr>
        <w:t>DA ABERTURA DA SESSÃO, CLASSIFICAÇÃO DAS PROPOSTAS E FORMULAÇÃO DE LANCES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abertura da presente licitação dar-se-á em sessão pública, por meio de sistema eletrônico, na data, horário e local indicados neste Edital.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Também será desclassificada a proposta que identifique o licitante.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A desclassificação será sempre fundamentada e registrada no sistema, com acompanhamento em tempo real por todos os participantes.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lang w:eastAsia="en-US"/>
        </w:rPr>
      </w:pPr>
      <w:r>
        <w:rPr>
          <w:rFonts w:hint="default" w:ascii="Arial" w:hAnsi="Arial" w:cs="Arial"/>
          <w:color w:val="auto"/>
          <w:sz w:val="21"/>
          <w:szCs w:val="21"/>
          <w:lang w:eastAsia="en-US"/>
        </w:rPr>
        <w:t>A não desclassificação da proposta não impede o seu julgamento definitivo em sentido contrário, levado a efeito na fase de aceitação.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 sistema ordenará automaticamente as propostas classificadas, sendo que somente estas participarão da fase de lances.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 O sistema disponibilizará campo próprio para troca de mensagens entre o Pregoeiro e os licitantes.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 Iniciada a etapa competitiva, os licitantes deverão encaminhar lances exclusivamente por meio de sistema eletrônico, sendo imediatamente informados do seu recebimento e do valor consignado no registro.</w:t>
      </w:r>
    </w:p>
    <w:p>
      <w:pPr>
        <w:numPr>
          <w:ilvl w:val="2"/>
          <w:numId w:val="2"/>
        </w:numPr>
        <w:tabs>
          <w:tab w:val="left" w:pos="1440"/>
        </w:tabs>
        <w:autoSpaceDE w:val="0"/>
        <w:snapToGrid w:val="0"/>
        <w:spacing w:before="120" w:after="120" w:line="276" w:lineRule="auto"/>
        <w:jc w:val="both"/>
        <w:rPr>
          <w:rFonts w:hint="default" w:ascii="Arial" w:hAnsi="Arial" w:eastAsia="Arial" w:cs="Arial"/>
          <w:i w:val="0"/>
          <w:iCs w:val="0"/>
          <w:color w:val="auto"/>
          <w:sz w:val="21"/>
          <w:szCs w:val="21"/>
        </w:rPr>
      </w:pPr>
      <w:r>
        <w:rPr>
          <w:rFonts w:hint="default" w:ascii="Arial" w:hAnsi="Arial" w:cs="Arial"/>
          <w:i w:val="0"/>
          <w:iCs w:val="0"/>
          <w:color w:val="auto"/>
          <w:sz w:val="21"/>
          <w:szCs w:val="21"/>
        </w:rPr>
        <w:t>O lance deverá ser ofertado pelo valor unitário do item.</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b/>
      </w:r>
      <w:r>
        <w:rPr>
          <w:rFonts w:hint="default" w:ascii="Arial" w:hAnsi="Arial" w:cs="Arial"/>
          <w:color w:val="000000" w:themeColor="text1"/>
          <w:sz w:val="21"/>
          <w:szCs w:val="21"/>
          <w:lang w:eastAsia="en-US"/>
          <w14:textFill>
            <w14:solidFill>
              <w14:schemeClr w14:val="tx1"/>
            </w14:solidFill>
          </w14:textFill>
        </w:rPr>
        <w:t>Os licitantes poderão oferecer lances sucessivos, observando o horário fixado para abertura da sessão e as regras estabelecidas no Edital.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O licitante somente poderá oferecer lance de valor inferior ou percentual de desconto superior ao último por ele ofertado e registrado pelo sistema.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O intervalo mínimo de diferença de valores entre os lances, que incidirá tanto em relação aos lances intermediários quanto em relação à proposta que cobrir a melhor oferta deverá ser de </w:t>
      </w:r>
      <w:r>
        <w:rPr>
          <w:rFonts w:hint="default" w:ascii="Arial" w:hAnsi="Arial" w:cs="Arial"/>
          <w:b/>
          <w:bCs/>
          <w:i/>
          <w:iCs/>
          <w:color w:val="000000" w:themeColor="text1"/>
          <w:sz w:val="21"/>
          <w:szCs w:val="21"/>
          <w:lang w:eastAsia="en-US"/>
          <w14:textFill>
            <w14:solidFill>
              <w14:schemeClr w14:val="tx1"/>
            </w14:solidFill>
          </w14:textFill>
        </w:rPr>
        <w:t xml:space="preserve">R$ </w:t>
      </w:r>
      <w:r>
        <w:rPr>
          <w:rFonts w:hint="default" w:ascii="Arial" w:hAnsi="Arial" w:cs="Arial"/>
          <w:b/>
          <w:bCs/>
          <w:i/>
          <w:iCs/>
          <w:color w:val="000000" w:themeColor="text1"/>
          <w:sz w:val="21"/>
          <w:szCs w:val="21"/>
          <w:lang w:val="pt-BR" w:eastAsia="en-US"/>
          <w14:textFill>
            <w14:solidFill>
              <w14:schemeClr w14:val="tx1"/>
            </w14:solidFill>
          </w14:textFill>
        </w:rPr>
        <w:t>0,01</w:t>
      </w:r>
      <w:r>
        <w:rPr>
          <w:rFonts w:hint="default" w:ascii="Arial" w:hAnsi="Arial" w:cs="Arial"/>
          <w:b/>
          <w:bCs/>
          <w:i/>
          <w:iCs/>
          <w:color w:val="000000" w:themeColor="text1"/>
          <w:sz w:val="21"/>
          <w:szCs w:val="21"/>
          <w:lang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um centavo</w:t>
      </w:r>
      <w:r>
        <w:rPr>
          <w:rFonts w:hint="default" w:ascii="Arial" w:hAnsi="Arial" w:cs="Arial"/>
          <w:b/>
          <w:bCs/>
          <w:i/>
          <w:iCs/>
          <w:color w:val="000000" w:themeColor="text1"/>
          <w:sz w:val="21"/>
          <w:szCs w:val="21"/>
          <w:lang w:eastAsia="en-US"/>
          <w14:textFill>
            <w14:solidFill>
              <w14:schemeClr w14:val="tx1"/>
            </w14:solidFill>
          </w14:textFill>
        </w:rPr>
        <w:t>)</w:t>
      </w:r>
      <w:r>
        <w:rPr>
          <w:rFonts w:hint="default" w:ascii="Arial" w:hAnsi="Arial" w:cs="Arial"/>
          <w:color w:val="000000" w:themeColor="text1"/>
          <w:sz w:val="21"/>
          <w:szCs w:val="21"/>
          <w:lang w:eastAsia="en-US"/>
          <w14:textFill>
            <w14:solidFill>
              <w14:schemeClr w14:val="tx1"/>
            </w14:solidFill>
          </w14:textFill>
        </w:rPr>
        <w:t>.</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Será adotado para o envio de lances no pregão eletrônico o modo de disputa </w:t>
      </w:r>
      <w:r>
        <w:rPr>
          <w:rFonts w:hint="default" w:ascii="Arial" w:hAnsi="Arial" w:cs="Arial"/>
          <w:b/>
          <w:bCs/>
          <w:i/>
          <w:iCs/>
          <w:color w:val="000000" w:themeColor="text1"/>
          <w:sz w:val="21"/>
          <w:szCs w:val="21"/>
          <w:lang w:eastAsia="en-US"/>
          <w14:textFill>
            <w14:solidFill>
              <w14:schemeClr w14:val="tx1"/>
            </w14:solidFill>
          </w14:textFill>
        </w:rPr>
        <w:t>“aberto e fechado”</w:t>
      </w:r>
      <w:r>
        <w:rPr>
          <w:rFonts w:hint="default" w:ascii="Arial" w:hAnsi="Arial" w:cs="Arial"/>
          <w:color w:val="000000" w:themeColor="text1"/>
          <w:sz w:val="21"/>
          <w:szCs w:val="21"/>
          <w:lang w:eastAsia="en-US"/>
          <w14:textFill>
            <w14:solidFill>
              <w14:schemeClr w14:val="tx1"/>
            </w14:solidFill>
          </w14:textFill>
        </w:rPr>
        <w:t>, em que os licitantes apresentarão lances públicos e sucessivos, com lance final e fechado.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Após o término dos prazos estabelecidos nos itens anteriores, o sistema ordenará os lances segundo a ordem crescente de valores.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Poderá o pregoeiro, auxiliado pela equipe de apoio, justificadamente, admitir o reinício da etapa fechada, caso nenhum licitante classificado na etapa de lance fechado atender às exigências de habilitação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Não serão aceitos dois ou mais lances de mesmo valor, prevalecendo aquele que for recebido e registrado em primeiro lugar.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Durante o transcurso da sessão pública, os licitantes serão informados, em tempo real, do valor do menor lance registrado, vedada a identificação do licitante.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No caso de desconexão com o Pregoeiro, no decorrer da etapa competitiva do Pregão, o sistema eletrônico poderá permanecer acessível aos licitantes para a recepção dos lances.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 critério de julgamento adotado será o menor preço, conforme definido neste Edital e seus anexos.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Caso o licitante não apresente lances, concorrerá com o valor de sua proposta.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123, de 2006, regulamentada pelo Decreto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8.538, de 2015.</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Nessas condições, as propostas de microempresas e empresas de pequeno porte que se encontrarem na faixa de até </w:t>
      </w:r>
      <w:r>
        <w:rPr>
          <w:rFonts w:hint="default" w:ascii="Arial" w:hAnsi="Arial" w:cs="Arial"/>
          <w:b/>
          <w:bCs/>
          <w:i/>
          <w:iCs/>
          <w:color w:val="000000" w:themeColor="text1"/>
          <w:sz w:val="21"/>
          <w:szCs w:val="21"/>
          <w:lang w:eastAsia="en-US"/>
          <w14:textFill>
            <w14:solidFill>
              <w14:schemeClr w14:val="tx1"/>
            </w14:solidFill>
          </w14:textFill>
        </w:rPr>
        <w:t>5% (cinco por cento)</w:t>
      </w:r>
      <w:r>
        <w:rPr>
          <w:rFonts w:hint="default" w:ascii="Arial" w:hAnsi="Arial" w:cs="Arial"/>
          <w:color w:val="000000" w:themeColor="text1"/>
          <w:sz w:val="21"/>
          <w:szCs w:val="21"/>
          <w:lang w:eastAsia="en-US"/>
          <w14:textFill>
            <w14:solidFill>
              <w14:schemeClr w14:val="tx1"/>
            </w14:solidFill>
          </w14:textFill>
        </w:rPr>
        <w:t xml:space="preserve"> acima da melhor proposta ou melhor lance serão consideradas empatadas com a primeira colocada.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Caso a microempresa ou a empresa de pequeno porte melhor classificada desista ou não se manifeste no prazo estabelecido, serão convocadas as demais licitantes microempresa e empresa de pequeno porte que se encontrem naquele intervalo de </w:t>
      </w:r>
      <w:r>
        <w:rPr>
          <w:rFonts w:hint="default" w:ascii="Arial" w:hAnsi="Arial" w:cs="Arial"/>
          <w:b/>
          <w:bCs/>
          <w:i/>
          <w:iCs/>
          <w:color w:val="000000" w:themeColor="text1"/>
          <w:sz w:val="21"/>
          <w:szCs w:val="21"/>
          <w:lang w:eastAsia="en-US"/>
          <w14:textFill>
            <w14:solidFill>
              <w14:schemeClr w14:val="tx1"/>
            </w14:solidFill>
          </w14:textFill>
        </w:rPr>
        <w:t>5% (cinco por cento)</w:t>
      </w:r>
      <w:r>
        <w:rPr>
          <w:rFonts w:hint="default" w:ascii="Arial" w:hAnsi="Arial" w:cs="Arial"/>
          <w:color w:val="000000" w:themeColor="text1"/>
          <w:sz w:val="21"/>
          <w:szCs w:val="21"/>
          <w:lang w:eastAsia="en-US"/>
          <w14:textFill>
            <w14:solidFill>
              <w14:schemeClr w14:val="tx1"/>
            </w14:solidFill>
          </w14:textFill>
        </w:rPr>
        <w:t>, na ordem de classificação, para o exercício do mesmo direito, no prazo estabelecido no subitem anterior.</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Só poderá haver empate entre propostas iguais </w:t>
      </w:r>
      <w:r>
        <w:rPr>
          <w:rFonts w:hint="default" w:ascii="Arial" w:hAnsi="Arial" w:cs="Arial"/>
          <w:color w:val="000000" w:themeColor="text1"/>
          <w:sz w:val="21"/>
          <w:szCs w:val="21"/>
          <w:lang w:val="pt-BR" w:eastAsia="en-US"/>
          <w14:textFill>
            <w14:solidFill>
              <w14:schemeClr w14:val="tx1"/>
            </w14:solidFill>
          </w14:textFill>
        </w:rPr>
        <w:t xml:space="preserve">- </w:t>
      </w:r>
      <w:r>
        <w:rPr>
          <w:rFonts w:hint="default" w:ascii="Arial" w:hAnsi="Arial" w:cs="Arial"/>
          <w:color w:val="000000" w:themeColor="text1"/>
          <w:sz w:val="21"/>
          <w:szCs w:val="21"/>
          <w:lang w:eastAsia="en-US"/>
          <w14:textFill>
            <w14:solidFill>
              <w14:schemeClr w14:val="tx1"/>
            </w14:solidFill>
          </w14:textFill>
        </w:rPr>
        <w:t>não seguidas de lances</w:t>
      </w:r>
      <w:r>
        <w:rPr>
          <w:rFonts w:hint="default" w:ascii="Arial" w:hAnsi="Arial" w:cs="Arial"/>
          <w:color w:val="000000" w:themeColor="text1"/>
          <w:sz w:val="21"/>
          <w:szCs w:val="21"/>
          <w:lang w:val="pt-BR" w:eastAsia="en-US"/>
          <w14:textFill>
            <w14:solidFill>
              <w14:schemeClr w14:val="tx1"/>
            </w14:solidFill>
          </w14:textFill>
        </w:rPr>
        <w:t xml:space="preserve"> -</w:t>
      </w:r>
      <w:r>
        <w:rPr>
          <w:rFonts w:hint="default" w:ascii="Arial" w:hAnsi="Arial" w:cs="Arial"/>
          <w:color w:val="000000" w:themeColor="text1"/>
          <w:sz w:val="21"/>
          <w:szCs w:val="21"/>
          <w:lang w:eastAsia="en-US"/>
          <w14:textFill>
            <w14:solidFill>
              <w14:schemeClr w14:val="tx1"/>
            </w14:solidFill>
          </w14:textFill>
        </w:rPr>
        <w:t xml:space="preserve"> ou entre lances finais da fase fechada do modo de disputa aberto e fechado.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Havendo eventual empate entre propostas ou lances, o critério de desempate será aquele previsto no art. 3º, § 2º, da Lei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8.666, de 1993, assegurando-se a preferência, </w:t>
      </w:r>
      <w:r>
        <w:rPr>
          <w:rFonts w:hint="default" w:ascii="Arial" w:hAnsi="Arial" w:cs="Arial"/>
          <w:color w:val="000000" w:themeColor="text1"/>
          <w:sz w:val="21"/>
          <w:szCs w:val="21"/>
          <w14:textFill>
            <w14:solidFill>
              <w14:schemeClr w14:val="tx1"/>
            </w14:solidFill>
          </w14:textFill>
        </w:rPr>
        <w:t>sucessivamente, aos serviços: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prestados por empresas brasileiras;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prestados por empresas que invistam em pesquisa e no desenvolvimento de tecnologia no País;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prestados por empresas que comprovem cumprimento de reserva de cargos prevista em lei para pessoa com deficiência ou para reabilitado da Previdência Social e que atendam às regras de acessibilidade previstas na legislação.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Persistindo o empate, a proposta vencedora será sorteada pelo sistema eletrônico dentre as propostas ou os lances empatados.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negociação será realizada por meio do sistema, podendo ser acompanhada pelos demais licitantes.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O pregoeiro solicitará ao licitante melhor classificado que, no prazo de </w:t>
      </w:r>
      <w:r>
        <w:rPr>
          <w:rFonts w:hint="default" w:ascii="Arial" w:hAnsi="Arial" w:cs="Arial"/>
          <w:b/>
          <w:bCs/>
          <w:i/>
          <w:iCs/>
          <w:color w:val="000000" w:themeColor="text1"/>
          <w:sz w:val="21"/>
          <w:szCs w:val="21"/>
          <w:lang w:val="pt-BR" w:eastAsia="en-US"/>
          <w14:textFill>
            <w14:solidFill>
              <w14:schemeClr w14:val="tx1"/>
            </w14:solidFill>
          </w14:textFill>
        </w:rPr>
        <w:t xml:space="preserve">2 </w:t>
      </w:r>
      <w:r>
        <w:rPr>
          <w:rFonts w:hint="default" w:ascii="Arial" w:hAnsi="Arial" w:cs="Arial"/>
          <w:b/>
          <w:bCs/>
          <w:i/>
          <w:iCs/>
          <w:color w:val="000000" w:themeColor="text1"/>
          <w:sz w:val="21"/>
          <w:szCs w:val="21"/>
          <w:lang w:eastAsia="en-US"/>
          <w14:textFill>
            <w14:solidFill>
              <w14:schemeClr w14:val="tx1"/>
            </w14:solidFill>
          </w14:textFill>
        </w:rPr>
        <w:t>(</w:t>
      </w:r>
      <w:r>
        <w:rPr>
          <w:rFonts w:hint="default" w:ascii="Arial" w:hAnsi="Arial" w:cs="Arial"/>
          <w:b/>
          <w:bCs/>
          <w:i/>
          <w:iCs/>
          <w:color w:val="000000" w:themeColor="text1"/>
          <w:sz w:val="21"/>
          <w:szCs w:val="21"/>
          <w:lang w:val="pt-BR" w:eastAsia="en-US"/>
          <w14:textFill>
            <w14:solidFill>
              <w14:schemeClr w14:val="tx1"/>
            </w14:solidFill>
          </w14:textFill>
        </w:rPr>
        <w:t>duas</w:t>
      </w:r>
      <w:r>
        <w:rPr>
          <w:rFonts w:hint="default" w:ascii="Arial" w:hAnsi="Arial" w:cs="Arial"/>
          <w:b/>
          <w:bCs/>
          <w:i/>
          <w:iCs/>
          <w:color w:val="000000" w:themeColor="text1"/>
          <w:sz w:val="21"/>
          <w:szCs w:val="21"/>
          <w:lang w:eastAsia="en-US"/>
          <w14:textFill>
            <w14:solidFill>
              <w14:schemeClr w14:val="tx1"/>
            </w14:solidFill>
          </w14:textFill>
        </w:rPr>
        <w:t>) horas</w:t>
      </w:r>
      <w:r>
        <w:rPr>
          <w:rFonts w:hint="default" w:ascii="Arial" w:hAnsi="Arial" w:cs="Arial"/>
          <w:color w:val="000000" w:themeColor="text1"/>
          <w:sz w:val="21"/>
          <w:szCs w:val="21"/>
          <w:lang w:val="pt-BR" w:eastAsia="en-US"/>
          <w14:textFill>
            <w14:solidFill>
              <w14:schemeClr w14:val="tx1"/>
            </w14:solidFill>
          </w14:textFill>
        </w:rPr>
        <w:t>,</w:t>
      </w:r>
      <w:r>
        <w:rPr>
          <w:rFonts w:hint="default" w:ascii="Arial" w:hAnsi="Arial" w:cs="Arial"/>
          <w:color w:val="000000" w:themeColor="text1"/>
          <w:sz w:val="21"/>
          <w:szCs w:val="21"/>
          <w:lang w:eastAsia="en-US"/>
          <w14:textFill>
            <w14:solidFill>
              <w14:schemeClr w14:val="tx1"/>
            </w14:solidFill>
          </w14:textFill>
        </w:rPr>
        <w:t xml:space="preserve"> envie a proposta adequada ao último lance ofertado após a negociação realizada, acompanhada, se for o caso, dos documentos complementares, quando necessários à confirmação daqueles exigidos neste Edital e já apresentados. </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É facultado ao pregoeiro prorrogar o prazo estabelecido, a partir de solicitação fundamentada feita no chat pelo licitante, antes de findo o prazo.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Após a negociação do preço, o Pregoeiro iniciará a fase de aceitação e julgamento da proposta.</w:t>
      </w:r>
    </w:p>
    <w:p>
      <w:pPr>
        <w:pStyle w:val="39"/>
        <w:ind w:left="0" w:leftChars="0" w:firstLine="0" w:firstLineChars="0"/>
        <w:rPr>
          <w:rFonts w:hint="default" w:ascii="Arial" w:hAnsi="Arial" w:cs="Arial"/>
          <w:sz w:val="21"/>
          <w:szCs w:val="21"/>
        </w:rPr>
      </w:pPr>
      <w:r>
        <w:rPr>
          <w:rFonts w:hint="default" w:ascii="Arial" w:hAnsi="Arial" w:cs="Arial"/>
          <w:sz w:val="21"/>
          <w:szCs w:val="21"/>
          <w:lang w:eastAsia="en-US"/>
        </w:rPr>
        <w:t xml:space="preserve">DA </w:t>
      </w:r>
      <w:r>
        <w:rPr>
          <w:rFonts w:hint="default" w:ascii="Arial" w:hAnsi="Arial" w:cs="Arial"/>
          <w:sz w:val="21"/>
          <w:szCs w:val="21"/>
        </w:rPr>
        <w:t xml:space="preserve">ACEITABILIDADE </w:t>
      </w:r>
      <w:r>
        <w:rPr>
          <w:rFonts w:hint="default" w:ascii="Arial" w:hAnsi="Arial" w:cs="Arial"/>
          <w:sz w:val="21"/>
          <w:szCs w:val="21"/>
          <w:lang w:eastAsia="en-US"/>
        </w:rPr>
        <w:t>DA PROPOSTA VENCEDORA.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bookmarkStart w:id="2" w:name="OLE_LINK1"/>
      <w:r>
        <w:rPr>
          <w:rFonts w:hint="default" w:ascii="Arial" w:hAnsi="Arial" w:cs="Arial"/>
          <w:color w:val="000000" w:themeColor="text1"/>
          <w:sz w:val="21"/>
          <w:szCs w:val="21"/>
          <w:lang w:eastAsia="en-US"/>
          <w14:textFill>
            <w14:solidFill>
              <w14:schemeClr w14:val="tx1"/>
            </w14:solidFill>
          </w14:textFill>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análise da exequibilidade da proposta de preços deverá ser realizada com o auxílio da Planilha de Custos e Formação de Preços, a ser preenchida pelo licitante em relação à sua proposta final, conforme anexo deste Edital.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 Planilha de Custos e Formação de Preços</w:t>
      </w:r>
      <w:r>
        <w:rPr>
          <w:rFonts w:hint="default" w:ascii="Arial" w:hAnsi="Arial" w:cs="Arial"/>
          <w:color w:val="000000" w:themeColor="text1"/>
          <w:sz w:val="21"/>
          <w:szCs w:val="21"/>
          <w:lang w:val="pt-BR" w:eastAsia="en-US"/>
          <w14:textFill>
            <w14:solidFill>
              <w14:schemeClr w14:val="tx1"/>
            </w14:solidFill>
          </w14:textFill>
        </w:rPr>
        <w:t>, conforme o caso,</w:t>
      </w:r>
      <w:r>
        <w:rPr>
          <w:rFonts w:hint="default" w:ascii="Arial" w:hAnsi="Arial" w:cs="Arial"/>
          <w:color w:val="000000" w:themeColor="text1"/>
          <w:sz w:val="21"/>
          <w:szCs w:val="21"/>
          <w:lang w:eastAsia="en-US"/>
          <w14:textFill>
            <w14:solidFill>
              <w14:schemeClr w14:val="tx1"/>
            </w14:solidFill>
          </w14:textFill>
        </w:rPr>
        <w:t xml:space="preserve"> deverá ser encaminhada pelo licitante exclusivamente via sistema, no prazo de</w:t>
      </w:r>
      <w:r>
        <w:rPr>
          <w:rFonts w:hint="default" w:ascii="Arial" w:hAnsi="Arial" w:cs="Arial"/>
          <w:b/>
          <w:bCs/>
          <w:i/>
          <w:iCs/>
          <w:color w:val="000000" w:themeColor="text1"/>
          <w:sz w:val="21"/>
          <w:szCs w:val="21"/>
          <w:lang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2 (duas) horas</w:t>
      </w:r>
      <w:r>
        <w:rPr>
          <w:rFonts w:hint="default" w:ascii="Arial" w:hAnsi="Arial" w:cs="Arial"/>
          <w:color w:val="000000" w:themeColor="text1"/>
          <w:sz w:val="21"/>
          <w:szCs w:val="21"/>
          <w:lang w:eastAsia="en-US"/>
          <w14:textFill>
            <w14:solidFill>
              <w14:schemeClr w14:val="tx1"/>
            </w14:solidFill>
          </w14:textFill>
        </w:rPr>
        <w:t>, contado da solicitação do pregoeiro, com os respectivos valores readequados ao lance vencedor, e será analisada pelo Pregoeiro no momento da aceitação do lance vencedor.</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A inexequibilidade dos valores referentes a itens isolados da Planilha de Custos e Formação de Preços não caracteriza motivo suficiente para a desclassificação da proposta, desde que não contrariem exigências legais.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Será desclassificada a proposta ou o lance vencedor, nos termos do item 9.1 do Anexo VII-A da In SEGES/MP n. 5/2017, que: </w:t>
      </w:r>
    </w:p>
    <w:bookmarkEnd w:id="2"/>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não estiver em conformidade com os requisitos estabelecidos neste edital;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contenha vício insanável ou ilegalidade;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não apresente as especificações técnicas exigidas pelo Termo de Referência;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apresentar preço final superior ao preço máximo fixado (Acórdão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1455/2018 -TCU - Plenário), percentual de desconto inferior ao mínimo exigido, ou que apresentar preço manifestamente inexequível;. </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Quando o licitante não conseguir comprovar que possui ou possuirá recursos suficientes para executar a contento o objeto, será considerada inexequível a proposta de preços ou menor lance que:</w:t>
      </w:r>
    </w:p>
    <w:p>
      <w:pPr>
        <w:pStyle w:val="43"/>
        <w:keepNext w:val="0"/>
        <w:widowControl/>
        <w:numPr>
          <w:ilvl w:val="4"/>
          <w:numId w:val="2"/>
        </w:numPr>
        <w:shd w:val="clear" w:color="auto" w:fill="auto"/>
        <w:spacing w:before="120" w:after="120"/>
        <w:ind w:left="126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pPr>
        <w:pStyle w:val="43"/>
        <w:keepNext w:val="0"/>
        <w:widowControl/>
        <w:numPr>
          <w:ilvl w:val="4"/>
          <w:numId w:val="2"/>
        </w:numPr>
        <w:shd w:val="clear" w:color="auto" w:fill="auto"/>
        <w:spacing w:before="120" w:after="120"/>
        <w:ind w:left="126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apresentar um ou mais valores da planilha de custo que sejam inferiores àqueles fixados em instrumentos de caráter normativo obrigatório, tais como leis, medidas provisórias e convenções coletivas de trabalho vigentes.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Se houver indícios de inexequibilidade da proposta de preço, ou em caso da necessidade de esclarecimentos complementares, poderão ser efetuadas diligências, na forma do § 3° do artigo 43 da Lei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8.666, de 1993 e a exemplo das enumeradas no item 9.4 do Anexo VII-A da IN SEGES/MP N. 5, de 2017, para que a empresa comprove a exequibilidade da proposta.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Qualquer interessado poderá requerer que se realizem diligências para aferir a exequibilidade e a legalidade das propostas, devendo apresentar as provas ou os indícios que fundamentam a suspeita.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r>
        <w:rPr>
          <w:rFonts w:hint="default" w:ascii="Arial" w:hAnsi="Arial" w:cs="Arial"/>
          <w:color w:val="000000" w:themeColor="text1"/>
          <w:sz w:val="21"/>
          <w:szCs w:val="21"/>
          <w:lang w:val="pt-BR" w:eastAsia="en-US"/>
          <w14:textFill>
            <w14:solidFill>
              <w14:schemeClr w14:val="tx1"/>
            </w14:solidFill>
          </w14:textFill>
        </w:rPr>
        <w:t>.</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 Pregoeiro poderá convocar o licitante para enviar documento digital complementar, por meio de funcionalidade disponível no sistema, no prazo de</w:t>
      </w:r>
      <w:r>
        <w:rPr>
          <w:rFonts w:hint="default" w:ascii="Arial" w:hAnsi="Arial" w:cs="Arial"/>
          <w:b/>
          <w:bCs/>
          <w:i/>
          <w:iCs/>
          <w:color w:val="000000" w:themeColor="text1"/>
          <w:sz w:val="21"/>
          <w:szCs w:val="21"/>
          <w:lang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2</w:t>
      </w:r>
      <w:r>
        <w:rPr>
          <w:rFonts w:hint="default" w:ascii="Arial" w:hAnsi="Arial" w:cs="Arial"/>
          <w:b/>
          <w:bCs/>
          <w:i/>
          <w:iCs/>
          <w:color w:val="000000" w:themeColor="text1"/>
          <w:sz w:val="21"/>
          <w:szCs w:val="21"/>
          <w:lang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duas</w:t>
      </w:r>
      <w:r>
        <w:rPr>
          <w:rFonts w:hint="default" w:ascii="Arial" w:hAnsi="Arial" w:cs="Arial"/>
          <w:b/>
          <w:bCs/>
          <w:i/>
          <w:iCs/>
          <w:color w:val="000000" w:themeColor="text1"/>
          <w:sz w:val="21"/>
          <w:szCs w:val="21"/>
          <w:lang w:eastAsia="en-US"/>
          <w14:textFill>
            <w14:solidFill>
              <w14:schemeClr w14:val="tx1"/>
            </w14:solidFill>
          </w14:textFill>
        </w:rPr>
        <w:t>)</w:t>
      </w:r>
      <w:r>
        <w:rPr>
          <w:rFonts w:hint="default" w:ascii="Arial" w:hAnsi="Arial" w:cs="Arial"/>
          <w:b/>
          <w:bCs/>
          <w:i/>
          <w:iCs/>
          <w:color w:val="000000" w:themeColor="text1"/>
          <w:sz w:val="21"/>
          <w:szCs w:val="21"/>
          <w:lang w:val="pt-BR" w:eastAsia="en-US"/>
          <w14:textFill>
            <w14:solidFill>
              <w14:schemeClr w14:val="tx1"/>
            </w14:solidFill>
          </w14:textFill>
        </w:rPr>
        <w:t xml:space="preserve"> horas</w:t>
      </w:r>
      <w:r>
        <w:rPr>
          <w:rFonts w:hint="default" w:ascii="Arial" w:hAnsi="Arial" w:cs="Arial"/>
          <w:color w:val="000000" w:themeColor="text1"/>
          <w:sz w:val="21"/>
          <w:szCs w:val="21"/>
          <w:lang w:eastAsia="en-US"/>
          <w14:textFill>
            <w14:solidFill>
              <w14:schemeClr w14:val="tx1"/>
            </w14:solidFill>
          </w14:textFill>
        </w:rPr>
        <w:t>,</w:t>
      </w:r>
      <w:r>
        <w:rPr>
          <w:rFonts w:hint="default" w:ascii="Arial" w:hAnsi="Arial" w:cs="Arial"/>
          <w:color w:val="000000" w:themeColor="text1"/>
          <w:sz w:val="21"/>
          <w:szCs w:val="21"/>
          <w:lang w:val="pt-BR" w:eastAsia="en-US"/>
          <w14:textFill>
            <w14:solidFill>
              <w14:schemeClr w14:val="tx1"/>
            </w14:solidFill>
          </w14:textFill>
        </w:rPr>
        <w:t xml:space="preserve"> </w:t>
      </w:r>
      <w:r>
        <w:rPr>
          <w:rFonts w:hint="default" w:ascii="Arial" w:hAnsi="Arial" w:cs="Arial"/>
          <w:color w:val="000000" w:themeColor="text1"/>
          <w:sz w:val="21"/>
          <w:szCs w:val="21"/>
          <w:lang w:eastAsia="en-US"/>
          <w14:textFill>
            <w14:solidFill>
              <w14:schemeClr w14:val="tx1"/>
            </w14:solidFill>
          </w14:textFill>
        </w:rPr>
        <w:t>sob pena de não aceitação da proposta.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É facultado ao pregoeiro prorrogar o prazo estabelecido, a partir de solicitação fundamentada feita no chat pelo licitante, antes de findo o prazo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Dentre os documentos passíveis de solicitação pelo Pregoeiro, destacam-se as planilhas de custo readequadas com o valor final ofertado.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Todos os dados informados pelo licitante em sua planilha deverão refletir com fidelidade os custos especificados e a margem de lucro pretendida.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Erros no preenchimento da planilha não constituem motivo para a desclassificação da proposta. A planilha poderá ser ajustada pelo licitante, no prazo indicado pelo Pregoeiro, desde que não haja majoração do preço.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O ajuste de que trata este dispositivo se limita a sanar erros ou falhas que não alterem a substância das propostas;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Considera-se erro no preenchimento da planilha passível de correção a indicação de recolhimento de impostos e contribuições na forma do Simples Nacional, quando não cabível esse regime.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Para fins de análise da proposta quanto ao cumprimento das especificações do objeto, poderá ser colhida a manifestação escrita do setor requisitante do serviço ou da área especializada no objeto.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Se a proposta ou lance vencedor for desclassificado, o Pregoeiro examinará a proposta ou lance subsequente, e, assim sucessivamente, na ordem de classificação.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Havendo necessidade, o Pregoeiro suspenderá a sessão, informando no “chat” a nova data e horário para a continuidade da mesma.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123, de 2006, seguindo-se a disciplina antes estabelecida, se for o caso.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Encerrada a análise quanto à aceitação da proposta, o pregoeiro verificará a habilitação do licitante, observado o disposto neste Edital</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 xml:space="preserve">DA HABILITAÇÃO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pPr>
        <w:pStyle w:val="21"/>
        <w:numPr>
          <w:ilvl w:val="0"/>
          <w:numId w:val="6"/>
        </w:numPr>
        <w:tabs>
          <w:tab w:val="left" w:pos="1000"/>
          <w:tab w:val="clear" w:pos="425"/>
        </w:tabs>
        <w:spacing w:before="120" w:after="120" w:line="276" w:lineRule="auto"/>
        <w:ind w:left="1000" w:leftChars="0" w:hanging="425" w:firstLineChars="0"/>
        <w:jc w:val="both"/>
        <w:rPr>
          <w:rFonts w:hint="default" w:ascii="Arial" w:hAnsi="Arial" w:cs="Arial"/>
          <w:sz w:val="21"/>
          <w:szCs w:val="21"/>
          <w:lang w:eastAsia="ar-SA"/>
        </w:rPr>
      </w:pPr>
      <w:r>
        <w:rPr>
          <w:rFonts w:hint="default" w:ascii="Arial" w:hAnsi="Arial" w:cs="Arial"/>
          <w:sz w:val="21"/>
          <w:szCs w:val="21"/>
          <w:lang w:eastAsia="ar-SA"/>
        </w:rPr>
        <w:t xml:space="preserve">SICAF;  </w:t>
      </w:r>
    </w:p>
    <w:p>
      <w:pPr>
        <w:pStyle w:val="21"/>
        <w:numPr>
          <w:ilvl w:val="0"/>
          <w:numId w:val="6"/>
        </w:numPr>
        <w:tabs>
          <w:tab w:val="left" w:pos="1000"/>
          <w:tab w:val="clear" w:pos="425"/>
        </w:tabs>
        <w:spacing w:before="120" w:after="120" w:line="276" w:lineRule="auto"/>
        <w:ind w:left="1000" w:leftChars="0" w:hanging="425" w:firstLineChars="0"/>
        <w:jc w:val="both"/>
        <w:rPr>
          <w:rFonts w:hint="default" w:ascii="Arial" w:hAnsi="Arial" w:cs="Arial"/>
          <w:sz w:val="21"/>
          <w:szCs w:val="21"/>
          <w:lang w:eastAsia="ar-SA"/>
        </w:rPr>
      </w:pPr>
      <w:r>
        <w:rPr>
          <w:rFonts w:hint="default" w:ascii="Arial" w:hAnsi="Arial" w:cs="Arial"/>
          <w:sz w:val="21"/>
          <w:szCs w:val="21"/>
          <w:lang w:eastAsia="ar-SA"/>
        </w:rPr>
        <w:t>Cadastro Nacional de Empresas Inidôneas e Suspensas - CEIS, mantido pela Controladoria-Geral da União (</w:t>
      </w:r>
      <w:r>
        <w:rPr>
          <w:rFonts w:hint="default" w:ascii="Arial" w:hAnsi="Arial" w:cs="Arial"/>
          <w:sz w:val="21"/>
          <w:szCs w:val="21"/>
        </w:rPr>
        <w:fldChar w:fldCharType="begin"/>
      </w:r>
      <w:r>
        <w:rPr>
          <w:rFonts w:hint="default" w:ascii="Arial" w:hAnsi="Arial" w:cs="Arial"/>
          <w:sz w:val="21"/>
          <w:szCs w:val="21"/>
        </w:rPr>
        <w:instrText xml:space="preserve"> HYPERLINK "http://www.portaldatransparencia.gov.br/ceis" </w:instrText>
      </w:r>
      <w:r>
        <w:rPr>
          <w:rFonts w:hint="default" w:ascii="Arial" w:hAnsi="Arial" w:cs="Arial"/>
          <w:sz w:val="21"/>
          <w:szCs w:val="21"/>
        </w:rPr>
        <w:fldChar w:fldCharType="separate"/>
      </w:r>
      <w:r>
        <w:rPr>
          <w:rStyle w:val="18"/>
          <w:rFonts w:hint="default" w:ascii="Arial" w:hAnsi="Arial" w:cs="Arial"/>
          <w:sz w:val="21"/>
          <w:szCs w:val="21"/>
          <w:lang w:eastAsia="ar-SA"/>
        </w:rPr>
        <w:t>www.portaldatransparencia.gov.br/ceis</w:t>
      </w:r>
      <w:r>
        <w:rPr>
          <w:rStyle w:val="18"/>
          <w:rFonts w:hint="default" w:ascii="Arial" w:hAnsi="Arial" w:cs="Arial"/>
          <w:sz w:val="21"/>
          <w:szCs w:val="21"/>
          <w:lang w:eastAsia="ar-SA"/>
        </w:rPr>
        <w:fldChar w:fldCharType="end"/>
      </w:r>
      <w:r>
        <w:rPr>
          <w:rFonts w:hint="default" w:ascii="Arial" w:hAnsi="Arial" w:cs="Arial"/>
          <w:sz w:val="21"/>
          <w:szCs w:val="21"/>
          <w:lang w:eastAsia="ar-SA"/>
        </w:rPr>
        <w:t xml:space="preserve">);  </w:t>
      </w:r>
    </w:p>
    <w:p>
      <w:pPr>
        <w:pStyle w:val="21"/>
        <w:numPr>
          <w:ilvl w:val="0"/>
          <w:numId w:val="6"/>
        </w:numPr>
        <w:tabs>
          <w:tab w:val="left" w:pos="1000"/>
          <w:tab w:val="clear" w:pos="425"/>
        </w:tabs>
        <w:spacing w:before="120" w:after="120" w:line="276" w:lineRule="auto"/>
        <w:ind w:left="1000" w:leftChars="0" w:hanging="425" w:firstLineChars="0"/>
        <w:jc w:val="both"/>
        <w:rPr>
          <w:rFonts w:hint="default" w:ascii="Arial" w:hAnsi="Arial" w:cs="Arial"/>
          <w:sz w:val="21"/>
          <w:szCs w:val="21"/>
          <w:lang w:eastAsia="ar-SA"/>
        </w:rPr>
      </w:pPr>
      <w:r>
        <w:rPr>
          <w:rFonts w:hint="default" w:ascii="Arial" w:hAnsi="Arial" w:cs="Arial"/>
          <w:sz w:val="21"/>
          <w:szCs w:val="21"/>
          <w:lang w:eastAsia="ar-SA"/>
        </w:rPr>
        <w:t>Cadastro Nacional de Condenações Cíveis por Atos de Improbidade Administrativa, mantido pelo Conselho Nacional de Justiça (</w:t>
      </w:r>
      <w:r>
        <w:rPr>
          <w:rFonts w:hint="default" w:ascii="Arial" w:hAnsi="Arial" w:cs="Arial"/>
          <w:sz w:val="21"/>
          <w:szCs w:val="21"/>
        </w:rPr>
        <w:fldChar w:fldCharType="begin"/>
      </w:r>
      <w:r>
        <w:rPr>
          <w:rFonts w:hint="default" w:ascii="Arial" w:hAnsi="Arial" w:cs="Arial"/>
          <w:sz w:val="21"/>
          <w:szCs w:val="21"/>
        </w:rPr>
        <w:instrText xml:space="preserve"> HYPERLINK "http://www.cnj.jus.br/improbidade_adm/consultar_requerido.php" </w:instrText>
      </w:r>
      <w:r>
        <w:rPr>
          <w:rFonts w:hint="default" w:ascii="Arial" w:hAnsi="Arial" w:cs="Arial"/>
          <w:sz w:val="21"/>
          <w:szCs w:val="21"/>
        </w:rPr>
        <w:fldChar w:fldCharType="separate"/>
      </w:r>
      <w:r>
        <w:rPr>
          <w:rStyle w:val="18"/>
          <w:rFonts w:hint="default" w:ascii="Arial" w:hAnsi="Arial" w:cs="Arial"/>
          <w:sz w:val="21"/>
          <w:szCs w:val="21"/>
          <w:lang w:eastAsia="ar-SA"/>
        </w:rPr>
        <w:t>www.cnj.jus.br/improbidade_adm/consultar_requerido.php</w:t>
      </w:r>
      <w:r>
        <w:rPr>
          <w:rStyle w:val="18"/>
          <w:rFonts w:hint="default" w:ascii="Arial" w:hAnsi="Arial" w:cs="Arial"/>
          <w:sz w:val="21"/>
          <w:szCs w:val="21"/>
          <w:lang w:eastAsia="ar-SA"/>
        </w:rPr>
        <w:fldChar w:fldCharType="end"/>
      </w:r>
      <w:r>
        <w:rPr>
          <w:rFonts w:hint="default" w:ascii="Arial" w:hAnsi="Arial" w:cs="Arial"/>
          <w:sz w:val="21"/>
          <w:szCs w:val="21"/>
          <w:lang w:eastAsia="ar-SA"/>
        </w:rPr>
        <w:t xml:space="preserve">).  </w:t>
      </w:r>
    </w:p>
    <w:p>
      <w:pPr>
        <w:pStyle w:val="21"/>
        <w:numPr>
          <w:ilvl w:val="0"/>
          <w:numId w:val="6"/>
        </w:numPr>
        <w:tabs>
          <w:tab w:val="left" w:pos="1000"/>
          <w:tab w:val="clear" w:pos="425"/>
        </w:tabs>
        <w:spacing w:before="120" w:after="120" w:line="276" w:lineRule="auto"/>
        <w:ind w:left="1000" w:leftChars="0" w:hanging="425" w:firstLineChars="0"/>
        <w:jc w:val="both"/>
        <w:rPr>
          <w:rFonts w:hint="default" w:ascii="Arial" w:hAnsi="Arial" w:cs="Arial"/>
          <w:sz w:val="21"/>
          <w:szCs w:val="21"/>
          <w:lang w:eastAsia="ar-SA"/>
        </w:rPr>
      </w:pPr>
      <w:r>
        <w:rPr>
          <w:rFonts w:hint="default" w:ascii="Arial" w:hAnsi="Arial" w:cs="Arial"/>
          <w:sz w:val="21"/>
          <w:szCs w:val="21"/>
          <w:lang w:eastAsia="ar-SA"/>
        </w:rPr>
        <w:t xml:space="preserve">Lista de Inidôneos e o Cadastro Integrado de Condenações por Ilícitos Administrativos - CADICON, mantidos pelo Tribunal de Contas da União - TCU;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Para a consulta de licitantes pessoa jurídica poderá haver a substituição das consultas das alíneas “b”, “c” e “d” acima pela Consulta Consolidada de Pessoa Jurídica do TCU (https://certidoesapf.apps.tcu.gov.br/)</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 xml:space="preserve">A consulta aos cadastros será realizada em nome da empresa licitante e também de seu sócio majoritário, por força do artigo 12 da Lei </w:t>
      </w:r>
      <w:r>
        <w:rPr>
          <w:rFonts w:hint="default" w:ascii="Arial" w:hAnsi="Arial" w:cs="Arial"/>
          <w:color w:val="000000" w:themeColor="text1"/>
          <w:sz w:val="21"/>
          <w:szCs w:val="21"/>
          <w:lang w:val="pt-BR" w:eastAsia="ar-SA"/>
          <w14:textFill>
            <w14:solidFill>
              <w14:schemeClr w14:val="tx1"/>
            </w14:solidFill>
          </w14:textFill>
        </w:rPr>
        <w:t>n.°</w:t>
      </w:r>
      <w:r>
        <w:rPr>
          <w:rFonts w:hint="default" w:ascii="Arial" w:hAnsi="Arial" w:cs="Arial"/>
          <w:color w:val="000000" w:themeColor="text1"/>
          <w:sz w:val="21"/>
          <w:szCs w:val="21"/>
          <w:lang w:eastAsia="ar-SA"/>
          <w14:textFill>
            <w14:solidFill>
              <w14:schemeClr w14:val="tx1"/>
            </w14:solidFill>
          </w14:textFill>
        </w:rPr>
        <w:t xml:space="preserve"> 8.429, de 1992, que prevê, dentre as sanções impostas ao responsável pela prática de ato de improbidade administrativa, a proibição de contratar com o Poder Público, inclusive por intermédio de pessoa jurídica da qual seja sócio majoritário.</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Caso conste na Consulta de Situação do Fornecedor a existência de Ocorrências Impeditivas Indiretas, o gestor diligenciará para verificar se houve fraude por parte das empresas apontadas no Relatório de Ocorrências Impeditivas Indiretas.</w:t>
      </w:r>
    </w:p>
    <w:p>
      <w:pPr>
        <w:pStyle w:val="43"/>
        <w:keepNext w:val="0"/>
        <w:widowControl/>
        <w:numPr>
          <w:ilvl w:val="4"/>
          <w:numId w:val="2"/>
        </w:numPr>
        <w:shd w:val="clear" w:color="auto" w:fill="auto"/>
        <w:spacing w:before="120" w:after="120"/>
        <w:ind w:left="126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A tentativa de burla será verificada por meio dos vínculos societários, linhas de fornecimento similares, dentre outros.</w:t>
      </w:r>
    </w:p>
    <w:p>
      <w:pPr>
        <w:pStyle w:val="43"/>
        <w:keepNext w:val="0"/>
        <w:widowControl/>
        <w:numPr>
          <w:ilvl w:val="4"/>
          <w:numId w:val="2"/>
        </w:numPr>
        <w:shd w:val="clear" w:color="auto" w:fill="auto"/>
        <w:spacing w:before="120" w:after="120"/>
        <w:ind w:left="126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O licitante será convocado para manifestação previamente à sua desclassificação.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Constatada a existência de sanção, o Pregoeiro reputará o licitante inabilitado, por falta de condição de participação.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No caso de inabilitação, haverá nova verificação, pelo sistema, da eventual ocorrência do empate ficto, previsto nos arts. 44 e 45 da Lei Complementar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123, de 2006, seguindo-se a disciplina antes estabelecida para aceitação da proposta subsequente.</w:t>
      </w:r>
    </w:p>
    <w:p>
      <w:pPr>
        <w:pStyle w:val="43"/>
        <w:keepNext w:val="0"/>
        <w:widowControl/>
        <w:numPr>
          <w:ilvl w:val="1"/>
          <w:numId w:val="7"/>
        </w:numPr>
        <w:spacing w:before="120" w:after="120"/>
        <w:rPr>
          <w:rFonts w:hint="default" w:ascii="Arial" w:hAnsi="Arial" w:cs="Arial"/>
          <w:sz w:val="21"/>
          <w:szCs w:val="21"/>
        </w:rPr>
      </w:pPr>
      <w:r>
        <w:rPr>
          <w:rFonts w:hint="default" w:ascii="Arial" w:hAnsi="Arial" w:cs="Arial"/>
          <w:color w:val="000000" w:themeColor="text1"/>
          <w:sz w:val="21"/>
          <w:szCs w:val="21"/>
          <w14:textFill>
            <w14:solidFill>
              <w14:schemeClr w14:val="tx1"/>
            </w14:solidFill>
          </w14:textFill>
        </w:rPr>
        <w:t xml:space="preserve">Caso atendidas as condições de participação, </w:t>
      </w:r>
      <w:r>
        <w:rPr>
          <w:rFonts w:hint="default" w:ascii="Arial" w:hAnsi="Arial" w:cs="Arial"/>
          <w:sz w:val="21"/>
          <w:szCs w:val="21"/>
        </w:rPr>
        <w:t>a habilitação do licitantes será verificada por meio do SICAF, nos documentos por ele abrangidos,</w:t>
      </w:r>
      <w:r>
        <w:rPr>
          <w:rFonts w:hint="default" w:ascii="Arial" w:hAnsi="Arial" w:cs="Arial"/>
          <w:color w:val="000000" w:themeColor="text1"/>
          <w:sz w:val="21"/>
          <w:szCs w:val="21"/>
          <w14:textFill>
            <w14:solidFill>
              <w14:schemeClr w14:val="tx1"/>
            </w14:solidFill>
          </w14:textFill>
        </w:rPr>
        <w:t xml:space="preserve"> em relação à habilitação jurídica, à regularidade fiscal, à qualificação econômica financeira e habilitação técnica, conforme o disposto na Instrução Normativa SEGES/MP </w:t>
      </w:r>
      <w:r>
        <w:rPr>
          <w:rFonts w:hint="default" w:ascii="Arial" w:hAnsi="Arial"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03, de 2018.</w:t>
      </w:r>
    </w:p>
    <w:p>
      <w:pPr>
        <w:pStyle w:val="43"/>
        <w:keepNext w:val="0"/>
        <w:widowControl/>
        <w:numPr>
          <w:ilvl w:val="2"/>
          <w:numId w:val="7"/>
        </w:numPr>
        <w:spacing w:before="120" w:after="120"/>
        <w:rPr>
          <w:rFonts w:hint="default" w:ascii="Arial" w:hAnsi="Arial" w:cs="Arial"/>
          <w:sz w:val="21"/>
          <w:szCs w:val="21"/>
        </w:rPr>
      </w:pPr>
      <w:r>
        <w:rPr>
          <w:rFonts w:hint="default" w:ascii="Arial" w:hAnsi="Arial" w:cs="Arial"/>
          <w:sz w:val="21"/>
          <w:szCs w:val="21"/>
        </w:rPr>
        <w:t xml:space="preserve">O interessado, para efeitos de habilitação prevista na Instrução Normativa SEGES/MP </w:t>
      </w:r>
      <w:r>
        <w:rPr>
          <w:rFonts w:hint="default" w:ascii="Arial" w:hAnsi="Arial" w:cs="Arial"/>
          <w:sz w:val="21"/>
          <w:szCs w:val="21"/>
          <w:lang w:val="pt-BR"/>
        </w:rPr>
        <w:t>n.°</w:t>
      </w:r>
      <w:r>
        <w:rPr>
          <w:rFonts w:hint="default" w:ascii="Arial" w:hAnsi="Arial" w:cs="Arial"/>
          <w:sz w:val="21"/>
          <w:szCs w:val="21"/>
        </w:rPr>
        <w:t xml:space="preserve"> 03, de 2018 mediante utilização do sistema, deverá atender às condições exigidas no cadastramento no SICAF até o terceiro dia útil anterior à data prevista para recebimento das propostas;</w:t>
      </w:r>
    </w:p>
    <w:p>
      <w:pPr>
        <w:numPr>
          <w:ilvl w:val="2"/>
          <w:numId w:val="7"/>
        </w:numPr>
        <w:spacing w:before="120" w:after="120" w:line="276" w:lineRule="auto"/>
        <w:jc w:val="both"/>
        <w:rPr>
          <w:rFonts w:hint="default" w:ascii="Arial" w:hAnsi="Arial" w:cs="Arial"/>
          <w:color w:val="000000"/>
          <w:sz w:val="21"/>
          <w:szCs w:val="21"/>
        </w:rPr>
      </w:pPr>
      <w:r>
        <w:rPr>
          <w:rFonts w:hint="default" w:ascii="Arial" w:hAnsi="Arial" w:cs="Arial"/>
          <w:color w:val="000000"/>
          <w:sz w:val="21"/>
          <w:szCs w:val="21"/>
        </w:rPr>
        <w:t>É dever do licitante atualizar previamente as comprovações constantes do SICAF para que estejam vigentes na data da abertura da sessão pública, ou encaminhar, em conjunto com a apresentação da proposta, a respectiva documentação atualizada.</w:t>
      </w:r>
    </w:p>
    <w:p>
      <w:pPr>
        <w:numPr>
          <w:ilvl w:val="2"/>
          <w:numId w:val="7"/>
        </w:numPr>
        <w:spacing w:before="120" w:after="120" w:line="276" w:lineRule="auto"/>
        <w:jc w:val="both"/>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sz w:val="21"/>
          <w:szCs w:val="21"/>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Pr>
          <w:rFonts w:hint="default" w:ascii="Arial" w:hAnsi="Arial" w:cs="Arial"/>
          <w:b/>
          <w:bCs/>
          <w:i/>
          <w:iCs/>
          <w:color w:val="000000" w:themeColor="text1"/>
          <w:sz w:val="21"/>
          <w:szCs w:val="21"/>
          <w:lang w:val="pt-BR" w:eastAsia="ar-SA"/>
          <w14:textFill>
            <w14:solidFill>
              <w14:schemeClr w14:val="tx1"/>
            </w14:solidFill>
          </w14:textFill>
        </w:rPr>
        <w:t>2</w:t>
      </w:r>
      <w:r>
        <w:rPr>
          <w:rFonts w:hint="default" w:ascii="Arial" w:hAnsi="Arial" w:cs="Arial"/>
          <w:b/>
          <w:bCs/>
          <w:i/>
          <w:iCs/>
          <w:color w:val="000000" w:themeColor="text1"/>
          <w:sz w:val="21"/>
          <w:szCs w:val="21"/>
          <w:lang w:eastAsia="ar-SA"/>
          <w14:textFill>
            <w14:solidFill>
              <w14:schemeClr w14:val="tx1"/>
            </w14:solidFill>
          </w14:textFill>
        </w:rPr>
        <w:t xml:space="preserve"> (</w:t>
      </w:r>
      <w:r>
        <w:rPr>
          <w:rFonts w:hint="default" w:ascii="Arial" w:hAnsi="Arial" w:cs="Arial"/>
          <w:b/>
          <w:bCs/>
          <w:i/>
          <w:iCs/>
          <w:color w:val="000000" w:themeColor="text1"/>
          <w:sz w:val="21"/>
          <w:szCs w:val="21"/>
          <w:lang w:val="pt-BR" w:eastAsia="ar-SA"/>
          <w14:textFill>
            <w14:solidFill>
              <w14:schemeClr w14:val="tx1"/>
            </w14:solidFill>
          </w14:textFill>
        </w:rPr>
        <w:t>duas</w:t>
      </w:r>
      <w:r>
        <w:rPr>
          <w:rFonts w:hint="default" w:ascii="Arial" w:hAnsi="Arial" w:cs="Arial"/>
          <w:b/>
          <w:bCs/>
          <w:i/>
          <w:iCs/>
          <w:color w:val="000000" w:themeColor="text1"/>
          <w:sz w:val="21"/>
          <w:szCs w:val="21"/>
          <w:lang w:eastAsia="ar-SA"/>
          <w14:textFill>
            <w14:solidFill>
              <w14:schemeClr w14:val="tx1"/>
            </w14:solidFill>
          </w14:textFill>
        </w:rPr>
        <w:t>) horas</w:t>
      </w:r>
      <w:r>
        <w:rPr>
          <w:rFonts w:hint="default" w:ascii="Arial" w:hAnsi="Arial" w:cs="Arial"/>
          <w:color w:val="000000" w:themeColor="text1"/>
          <w:sz w:val="21"/>
          <w:szCs w:val="21"/>
          <w:lang w:eastAsia="ar-SA"/>
          <w14:textFill>
            <w14:solidFill>
              <w14:schemeClr w14:val="tx1"/>
            </w14:solidFill>
          </w14:textFill>
        </w:rPr>
        <w:t>, sob pena de inabilitação.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Somente haverá a necessidade de comprovação do preenchimento de requisitos mediante apresentação dos documentos originais não-digitais quando houver dúvida em relação à integridade do documento digital.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Não serão aceitos documentos de habilitação com indicação de CNPJ/CPF diferentes, salvo aqueles legalmente permitidos.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Serão aceitos registros de CNPJ de licitante matriz e filial com diferenças de números de documentos pertinentes ao CND e ao CRF/FGTS, quando for comprovada a centralização do recolhimento dessas contribuições.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 xml:space="preserve"> Ressalvado o disposto no item 5.3, os licitantes deverão encaminhar, nos termos deste Edital, a documentação relacionada nos itens a seguir, para fins de habilitação</w:t>
      </w:r>
      <w:r>
        <w:rPr>
          <w:rFonts w:hint="default" w:ascii="Arial" w:hAnsi="Arial" w:cs="Arial"/>
          <w:color w:val="000000" w:themeColor="text1"/>
          <w:sz w:val="21"/>
          <w:szCs w:val="21"/>
          <w:lang w:val="pt-BR" w:eastAsia="ar-SA"/>
          <w14:textFill>
            <w14:solidFill>
              <w14:schemeClr w14:val="tx1"/>
            </w14:solidFill>
          </w14:textFill>
        </w:rPr>
        <w:t>.</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bCs/>
          <w:color w:val="000000" w:themeColor="text1"/>
          <w:sz w:val="21"/>
          <w:szCs w:val="21"/>
          <w:lang w:eastAsia="ar-SA"/>
          <w14:textFill>
            <w14:solidFill>
              <w14:schemeClr w14:val="tx1"/>
            </w14:solidFill>
          </w14:textFill>
        </w:rPr>
      </w:pPr>
      <w:r>
        <w:rPr>
          <w:rFonts w:hint="default" w:ascii="Arial" w:hAnsi="Arial" w:cs="Arial"/>
          <w:b/>
          <w:bCs/>
          <w:color w:val="000000" w:themeColor="text1"/>
          <w:sz w:val="21"/>
          <w:szCs w:val="21"/>
          <w:lang w:eastAsia="ar-SA"/>
          <w14:textFill>
            <w14:solidFill>
              <w14:schemeClr w14:val="tx1"/>
            </w14:solidFill>
          </w14:textFill>
        </w:rPr>
        <w:t xml:space="preserve">Habilitação jurídica: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no caso de empresário individual, inscrição no Registro Público de Empresas Mercantis, a cargo da Junta Comercial da respectiva sede;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inscrição no Registro Público de Empresas Mercantis onde opera, com averbação no Registro onde tem sede a matriz, no caso de ser o participante sucursal, filial ou agência;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No caso de sociedade simples: inscrição do ato constitutivo no Registro Civil das Pessoas Jurídicas do local de sua sede, acompanhada de prova da indicação dos seus administradores;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decreto de autorização, em se tratando de sociedade empresária estrangeira em funcionamento no País;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Os documentos acima deverão estar acompanhados de todas as alterações ou da consolidação respectiva.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bCs/>
          <w:color w:val="000000" w:themeColor="text1"/>
          <w:sz w:val="21"/>
          <w:szCs w:val="21"/>
          <w:lang w:eastAsia="ar-SA"/>
          <w14:textFill>
            <w14:solidFill>
              <w14:schemeClr w14:val="tx1"/>
            </w14:solidFill>
          </w14:textFill>
        </w:rPr>
      </w:pPr>
      <w:r>
        <w:rPr>
          <w:rFonts w:hint="default" w:ascii="Arial" w:hAnsi="Arial" w:cs="Arial"/>
          <w:b/>
          <w:bCs/>
          <w:color w:val="000000" w:themeColor="text1"/>
          <w:sz w:val="21"/>
          <w:szCs w:val="21"/>
          <w:lang w:eastAsia="ar-SA"/>
          <w14:textFill>
            <w14:solidFill>
              <w14:schemeClr w14:val="tx1"/>
            </w14:solidFill>
          </w14:textFill>
        </w:rPr>
        <w:t xml:space="preserve">  Regularidade fiscal e trabalhista: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prova de inscrição no Cadastro Nacional de Pessoas Jurídicas;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w:t>
      </w:r>
      <w:r>
        <w:rPr>
          <w:rFonts w:hint="default" w:ascii="Arial" w:hAnsi="Arial" w:cs="Arial"/>
          <w:color w:val="000000" w:themeColor="text1"/>
          <w:sz w:val="21"/>
          <w:szCs w:val="21"/>
          <w:lang w:val="pt-BR" w:eastAsia="ar-SA"/>
          <w14:textFill>
            <w14:solidFill>
              <w14:schemeClr w14:val="tx1"/>
            </w14:solidFill>
          </w14:textFill>
        </w:rPr>
        <w:t>n.°</w:t>
      </w:r>
      <w:r>
        <w:rPr>
          <w:rFonts w:hint="default" w:ascii="Arial" w:hAnsi="Arial" w:cs="Arial"/>
          <w:color w:val="000000" w:themeColor="text1"/>
          <w:sz w:val="21"/>
          <w:szCs w:val="21"/>
          <w:lang w:eastAsia="ar-SA"/>
          <w14:textFill>
            <w14:solidFill>
              <w14:schemeClr w14:val="tx1"/>
            </w14:solidFill>
          </w14:textFill>
        </w:rPr>
        <w:t xml:space="preserve"> 1.751, de 02/10/2014, do Secretário da Receita Federal do Brasil e da Procuradora-Geral da Fazenda Nacional.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prova de regularidade com o Fundo de Garantia do Tempo de Serviço (FGTS);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hint="default" w:ascii="Arial" w:hAnsi="Arial" w:cs="Arial"/>
          <w:color w:val="000000" w:themeColor="text1"/>
          <w:sz w:val="21"/>
          <w:szCs w:val="21"/>
          <w:lang w:val="pt-BR" w:eastAsia="en-US"/>
          <w14:textFill>
            <w14:solidFill>
              <w14:schemeClr w14:val="tx1"/>
            </w14:solidFill>
          </w14:textFill>
        </w:rPr>
        <w:t>n.°</w:t>
      </w:r>
      <w:r>
        <w:rPr>
          <w:rFonts w:hint="default" w:ascii="Arial" w:hAnsi="Arial" w:cs="Arial"/>
          <w:color w:val="000000" w:themeColor="text1"/>
          <w:sz w:val="21"/>
          <w:szCs w:val="21"/>
          <w:lang w:eastAsia="en-US"/>
          <w14:textFill>
            <w14:solidFill>
              <w14:schemeClr w14:val="tx1"/>
            </w14:solidFill>
          </w14:textFill>
        </w:rPr>
        <w:t xml:space="preserve"> 5.452, de 1º de maio de 1943;</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 xml:space="preserve">prova de inscrição no cadastro de contribuintes municipal, relativo ao domicílio ou sede do licitante, pertinente ao seu ramo de atividade e compatível com o objeto contratual;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ar-SA"/>
          <w14:textFill>
            <w14:solidFill>
              <w14:schemeClr w14:val="tx1"/>
            </w14:solidFill>
          </w14:textFill>
        </w:rPr>
      </w:pPr>
      <w:r>
        <w:rPr>
          <w:rFonts w:hint="default" w:ascii="Arial" w:hAnsi="Arial" w:cs="Arial"/>
          <w:color w:val="000000" w:themeColor="text1"/>
          <w:sz w:val="21"/>
          <w:szCs w:val="21"/>
          <w:lang w:eastAsia="ar-SA"/>
          <w14:textFill>
            <w14:solidFill>
              <w14:schemeClr w14:val="tx1"/>
            </w14:solidFill>
          </w14:textFill>
        </w:rPr>
        <w:t xml:space="preserve">prova de regularidade com a Fazenda Municipal do domicílio ou sede do licitante, relativa à atividade em cujo exercício contrata ou concorre;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bCs/>
          <w:color w:val="000000" w:themeColor="text1"/>
          <w:sz w:val="21"/>
          <w:szCs w:val="21"/>
          <w:lang w:eastAsia="ar-SA"/>
          <w14:textFill>
            <w14:solidFill>
              <w14:schemeClr w14:val="tx1"/>
            </w14:solidFill>
          </w14:textFill>
        </w:rPr>
      </w:pPr>
      <w:r>
        <w:rPr>
          <w:rFonts w:hint="default" w:ascii="Arial" w:hAnsi="Arial" w:cs="Arial"/>
          <w:b/>
          <w:bCs/>
          <w:color w:val="000000" w:themeColor="text1"/>
          <w:sz w:val="21"/>
          <w:szCs w:val="21"/>
          <w:lang w:eastAsia="ar-SA"/>
          <w14:textFill>
            <w14:solidFill>
              <w14:schemeClr w14:val="tx1"/>
            </w14:solidFill>
          </w14:textFill>
        </w:rPr>
        <w:t xml:space="preserve"> Qualificação Econômico-Financeira: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bookmarkStart w:id="3" w:name="_Hlk519668602"/>
      <w:r>
        <w:rPr>
          <w:rFonts w:hint="default" w:ascii="Arial" w:hAnsi="Arial" w:cs="Arial"/>
          <w:color w:val="000000" w:themeColor="text1"/>
          <w:sz w:val="21"/>
          <w:szCs w:val="21"/>
          <w:lang w:eastAsia="en-US"/>
          <w14:textFill>
            <w14:solidFill>
              <w14:schemeClr w14:val="tx1"/>
            </w14:solidFill>
          </w14:textFill>
        </w:rPr>
        <w:t>certidão negativa de falência expedida pelo distribuidor da sede do licitante;</w:t>
      </w:r>
    </w:p>
    <w:bookmarkEnd w:id="3"/>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no caso de empresa constituída no exercício social vigente, admite-se a apresentação de balanço patrimonial e demonstrações contábeis referentes ao período de existência da sociedade;</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é admissível o balanço intermediário, se decorrer de lei ou contrato/estatuto social.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comprovação da boa situação financeira da empresa mediante obtenção de índices de Liquidez Geral (LG), Solvência Geral (SG) e Liquidez Corrente (LC), superiores a 1 (um), obtidos  pela aplicação das seguintes fórmulas:</w:t>
      </w:r>
    </w:p>
    <w:tbl>
      <w:tblPr>
        <w:tblStyle w:val="20"/>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5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vAlign w:val="center"/>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LG =</w:t>
            </w:r>
          </w:p>
        </w:tc>
        <w:tc>
          <w:tcPr>
            <w:tcW w:w="5902" w:type="dxa"/>
            <w:tcBorders>
              <w:bottom w:val="single" w:color="auto" w:sz="4" w:space="0"/>
            </w:tcBorders>
            <w:vAlign w:val="bottom"/>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Ativo Circulante + Realizável a Longo Prazo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p>
        </w:tc>
        <w:tc>
          <w:tcPr>
            <w:tcW w:w="5902" w:type="dxa"/>
            <w:tcBorders>
              <w:top w:val="single" w:color="auto" w:sz="4" w:space="0"/>
            </w:tcBorders>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Passivo Circulante + Passivo Não Circulante</w:t>
            </w:r>
          </w:p>
        </w:tc>
      </w:tr>
    </w:tbl>
    <w:p>
      <w:pPr>
        <w:tabs>
          <w:tab w:val="left" w:pos="1440"/>
        </w:tabs>
        <w:autoSpaceDE w:val="0"/>
        <w:snapToGrid w:val="0"/>
        <w:spacing w:line="276" w:lineRule="auto"/>
        <w:ind w:left="1134"/>
        <w:jc w:val="center"/>
        <w:rPr>
          <w:rFonts w:hint="default" w:ascii="Arial" w:hAnsi="Arial" w:cs="Arial"/>
          <w:color w:val="000000"/>
          <w:sz w:val="21"/>
          <w:szCs w:val="21"/>
        </w:rPr>
      </w:pPr>
    </w:p>
    <w:tbl>
      <w:tblPr>
        <w:tblStyle w:val="20"/>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5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restart"/>
            <w:vAlign w:val="center"/>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SG =</w:t>
            </w:r>
          </w:p>
        </w:tc>
        <w:tc>
          <w:tcPr>
            <w:tcW w:w="5902" w:type="dxa"/>
            <w:tcBorders>
              <w:bottom w:val="single" w:color="auto" w:sz="4" w:space="0"/>
            </w:tcBorders>
            <w:vAlign w:val="bottom"/>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Ativo 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continue"/>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p>
        </w:tc>
        <w:tc>
          <w:tcPr>
            <w:tcW w:w="5902" w:type="dxa"/>
            <w:tcBorders>
              <w:top w:val="single" w:color="auto" w:sz="4" w:space="0"/>
            </w:tcBorders>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Passivo Circulante + Passivo Não Circulante</w:t>
            </w:r>
          </w:p>
        </w:tc>
      </w:tr>
    </w:tbl>
    <w:p>
      <w:pPr>
        <w:tabs>
          <w:tab w:val="left" w:pos="1440"/>
        </w:tabs>
        <w:autoSpaceDE w:val="0"/>
        <w:snapToGrid w:val="0"/>
        <w:spacing w:line="276" w:lineRule="auto"/>
        <w:ind w:left="1134"/>
        <w:jc w:val="center"/>
        <w:rPr>
          <w:rFonts w:hint="default" w:ascii="Arial" w:hAnsi="Arial" w:cs="Arial"/>
          <w:color w:val="000000"/>
          <w:sz w:val="21"/>
          <w:szCs w:val="21"/>
        </w:rPr>
      </w:pPr>
    </w:p>
    <w:tbl>
      <w:tblPr>
        <w:tblStyle w:val="20"/>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5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vAlign w:val="center"/>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LC =</w:t>
            </w:r>
          </w:p>
        </w:tc>
        <w:tc>
          <w:tcPr>
            <w:tcW w:w="5902" w:type="dxa"/>
            <w:tcBorders>
              <w:bottom w:val="single" w:color="auto" w:sz="4" w:space="0"/>
            </w:tcBorders>
            <w:vAlign w:val="bottom"/>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Ativo Circulante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p>
        </w:tc>
        <w:tc>
          <w:tcPr>
            <w:tcW w:w="5902" w:type="dxa"/>
            <w:tcBorders>
              <w:top w:val="single" w:color="auto" w:sz="4" w:space="0"/>
            </w:tcBorders>
          </w:tcPr>
          <w:p>
            <w:pPr>
              <w:tabs>
                <w:tab w:val="left" w:pos="1440"/>
              </w:tabs>
              <w:autoSpaceDE w:val="0"/>
              <w:snapToGrid w:val="0"/>
              <w:spacing w:line="276" w:lineRule="auto"/>
              <w:jc w:val="center"/>
              <w:rPr>
                <w:rFonts w:hint="default" w:ascii="Arial" w:hAnsi="Arial" w:cs="Arial" w:eastAsiaTheme="minorEastAsia"/>
                <w:color w:val="000000"/>
                <w:sz w:val="21"/>
                <w:szCs w:val="21"/>
                <w:lang w:eastAsia="en-US"/>
              </w:rPr>
            </w:pPr>
            <w:r>
              <w:rPr>
                <w:rFonts w:hint="default" w:ascii="Arial" w:hAnsi="Arial" w:cs="Arial" w:eastAsiaTheme="minorEastAsia"/>
                <w:color w:val="000000"/>
                <w:sz w:val="21"/>
                <w:szCs w:val="21"/>
                <w:lang w:eastAsia="en-US"/>
              </w:rPr>
              <w:t>Passivo Circulante</w:t>
            </w:r>
          </w:p>
        </w:tc>
      </w:tr>
    </w:tbl>
    <w:p>
      <w:pPr>
        <w:spacing w:line="276" w:lineRule="auto"/>
        <w:jc w:val="both"/>
        <w:rPr>
          <w:rFonts w:hint="default" w:ascii="Arial" w:hAnsi="Arial" w:cs="Arial"/>
          <w:b/>
          <w:sz w:val="21"/>
          <w:szCs w:val="21"/>
          <w:lang w:eastAsia="en-US"/>
        </w:rPr>
      </w:pP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eastAsia="en-US"/>
          <w14:textFill>
            <w14:solidFill>
              <w14:schemeClr w14:val="tx1"/>
            </w14:solidFill>
          </w14:textFill>
        </w:rPr>
        <w:t xml:space="preserve">As empresas, cadastradas ou não no SICAF, que apresentarem resultado inferior ou igual a 1(um) em qualquer dos índices de Liquidez Geral (LG), Solvência Geral (SG) e Liquidez Corrente (LC), deverão comprovar patrimônio líquido de </w:t>
      </w:r>
      <w:r>
        <w:rPr>
          <w:rFonts w:hint="default" w:ascii="Arial" w:hAnsi="Arial" w:eastAsia="Calibri" w:cs="Arial"/>
          <w:b/>
          <w:bCs/>
          <w:i/>
          <w:iCs/>
          <w:sz w:val="21"/>
          <w:szCs w:val="21"/>
          <w:lang w:eastAsia="en-US"/>
        </w:rPr>
        <w:t>10% (dez por cento)</w:t>
      </w:r>
      <w:r>
        <w:rPr>
          <w:rFonts w:hint="default" w:ascii="Arial" w:hAnsi="Arial" w:cs="Arial"/>
          <w:color w:val="000000" w:themeColor="text1"/>
          <w:sz w:val="21"/>
          <w:szCs w:val="21"/>
          <w:lang w:eastAsia="en-US"/>
          <w14:textFill>
            <w14:solidFill>
              <w14:schemeClr w14:val="tx1"/>
            </w14:solidFill>
          </w14:textFill>
        </w:rPr>
        <w:t xml:space="preserve"> do valor estimado da contratação ou do item pertinente.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bCs/>
          <w:color w:val="000000" w:themeColor="text1"/>
          <w:sz w:val="21"/>
          <w:szCs w:val="21"/>
          <w:lang w:eastAsia="ar-SA"/>
          <w14:textFill>
            <w14:solidFill>
              <w14:schemeClr w14:val="tx1"/>
            </w14:solidFill>
          </w14:textFill>
        </w:rPr>
      </w:pPr>
      <w:r>
        <w:rPr>
          <w:rFonts w:hint="default" w:ascii="Arial" w:hAnsi="Arial" w:cs="Arial"/>
          <w:b/>
          <w:bCs/>
          <w:color w:val="000000" w:themeColor="text1"/>
          <w:sz w:val="21"/>
          <w:szCs w:val="21"/>
          <w:lang w:eastAsia="ar-SA"/>
          <w14:textFill>
            <w14:solidFill>
              <w14:schemeClr w14:val="tx1"/>
            </w14:solidFill>
          </w14:textFill>
        </w:rPr>
        <w:t xml:space="preserve"> Qualificação Técnica: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 xml:space="preserve">As empresas, cadastradas ou não no SICAF, deverão comprovar, ainda, a qualificação técnica, por meio de: </w:t>
      </w:r>
    </w:p>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Registro ativo da empresa licitante no Conselho Regional de</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Nutricionistas (CRN), com jurisdição no local de suas atividades, em</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plena validade, em conformidade com a Resolução CFN 378/2005. </w:t>
      </w:r>
    </w:p>
    <w:p>
      <w:pPr>
        <w:pStyle w:val="43"/>
        <w:keepNext w:val="0"/>
        <w:widowControl/>
        <w:numPr>
          <w:ilvl w:val="4"/>
          <w:numId w:val="2"/>
        </w:numPr>
        <w:shd w:val="clear" w:color="auto" w:fill="auto"/>
        <w:spacing w:before="120" w:after="120"/>
        <w:ind w:left="126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No caso de a empresa licitante não ser registrada no</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CRN do Estado </w:t>
      </w:r>
      <w:r>
        <w:rPr>
          <w:rFonts w:hint="default" w:ascii="Arial" w:hAnsi="Arial"/>
          <w:color w:val="000000" w:themeColor="text1"/>
          <w:sz w:val="21"/>
          <w:szCs w:val="21"/>
          <w:lang w:val="pt-BR" w:eastAsia="en-US"/>
          <w14:textFill>
            <w14:solidFill>
              <w14:schemeClr w14:val="tx1"/>
            </w14:solidFill>
          </w14:textFill>
        </w:rPr>
        <w:t>Paraíba</w:t>
      </w:r>
      <w:r>
        <w:rPr>
          <w:rFonts w:hint="default" w:ascii="Arial" w:hAnsi="Arial"/>
          <w:color w:val="000000" w:themeColor="text1"/>
          <w:sz w:val="21"/>
          <w:szCs w:val="21"/>
          <w:lang w:eastAsia="en-US"/>
          <w14:textFill>
            <w14:solidFill>
              <w14:schemeClr w14:val="tx1"/>
            </w14:solidFill>
          </w14:textFill>
        </w:rPr>
        <w:t>,</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deverá ser providenciado o respectivo registro deste órgão regional por ocasião da assinatura do contrato. </w:t>
      </w:r>
    </w:p>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Comprovação de que a empresa possui em seu quadro de pessoal,</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nutricionista como responsável técnico, devidamente inscrito no</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Conselho Regional de Nutricionistas. </w:t>
      </w:r>
    </w:p>
    <w:p>
      <w:pPr>
        <w:pStyle w:val="43"/>
        <w:keepNext w:val="0"/>
        <w:widowControl/>
        <w:numPr>
          <w:ilvl w:val="4"/>
          <w:numId w:val="2"/>
        </w:numPr>
        <w:shd w:val="clear" w:color="auto" w:fill="auto"/>
        <w:spacing w:before="120" w:after="120"/>
        <w:ind w:left="1260" w:leftChars="0" w:firstLine="0" w:firstLineChars="0"/>
        <w:rPr>
          <w:rFonts w:hint="default" w:ascii="Arial" w:hAnsi="Arial"/>
          <w:color w:val="000000" w:themeColor="text1"/>
          <w:sz w:val="21"/>
          <w:szCs w:val="21"/>
          <w:lang w:eastAsia="pt-BR"/>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A comprovação de vínculo profissional entre o nutricionista (responsável técnico) e a licitante se fará, alternativamente, com a apresentação de:</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pt-BR"/>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na condição de sócio: contrato social e sua última alteração;</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pt-BR"/>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na condição de diretor: estatuto social e ata de eleiçã</w:t>
      </w:r>
      <w:r>
        <w:rPr>
          <w:rFonts w:hint="default" w:ascii="Arial" w:hAnsi="Arial"/>
          <w:color w:val="000000" w:themeColor="text1"/>
          <w:sz w:val="21"/>
          <w:szCs w:val="21"/>
          <w:lang w:val="pt-BR" w:eastAsia="pt-BR"/>
          <w14:textFill>
            <w14:solidFill>
              <w14:schemeClr w14:val="tx1"/>
            </w14:solidFill>
          </w14:textFill>
        </w:rPr>
        <w:t xml:space="preserve">o devidamente publicada na </w:t>
      </w:r>
      <w:r>
        <w:rPr>
          <w:rFonts w:hint="default" w:ascii="Arial" w:hAnsi="Arial"/>
          <w:color w:val="000000" w:themeColor="text1"/>
          <w:sz w:val="21"/>
          <w:szCs w:val="21"/>
          <w:lang w:eastAsia="pt-BR"/>
          <w14:textFill>
            <w14:solidFill>
              <w14:schemeClr w14:val="tx1"/>
            </w14:solidFill>
          </w14:textFill>
        </w:rPr>
        <w:t>imprensa, em se tratando de sociedade anônima;</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se empregado permanente da empresa: contrato de trabalho por tempo indeterminado com firmas reconhecidas em cartório, ou carteira de trabalho e previdência social, ou declaração de contratação futura do profissional, desde que acompanhada de declaração de anuência do profissional.</w:t>
      </w:r>
    </w:p>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Declaração de que a empresa licitante, na condição de contratada, se compromete em apresentar, ao fiscal do contrato, após a</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assinatura do Termo de Contrato, o alvará sanitário e o alvará de funcionamento expedido pelo órgão responsável e competente de vigilância sanitária (Estadual/Municipal). </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Declaração formal de que a empresa licitante, na condição de</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Contratada, irá disponibilizar uma equipe técnica contendo profissionais especializados e devidamente habilitados para desenvolverem as diversas atividades necessárias à execução</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do objeto, conforme preceitua o § 6º do Art. 30 da Lei 8666/93.</w:t>
      </w:r>
    </w:p>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bookmarkStart w:id="4" w:name="_Hlk519176340"/>
      <w:r>
        <w:rPr>
          <w:rFonts w:hint="default" w:ascii="Arial" w:hAnsi="Arial"/>
          <w:color w:val="000000" w:themeColor="text1"/>
          <w:sz w:val="21"/>
          <w:szCs w:val="21"/>
          <w:lang w:eastAsia="en-US"/>
          <w14:textFill>
            <w14:solidFill>
              <w14:schemeClr w14:val="tx1"/>
            </w14:solidFill>
          </w14:textFill>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pPr>
        <w:pStyle w:val="43"/>
        <w:keepNext w:val="0"/>
        <w:widowControl/>
        <w:numPr>
          <w:ilvl w:val="4"/>
          <w:numId w:val="2"/>
        </w:numPr>
        <w:shd w:val="clear" w:color="auto" w:fill="auto"/>
        <w:spacing w:before="120" w:after="120"/>
        <w:ind w:left="126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Para fins da comprovação de que trata este subitem, os atestados deverão dizer respeito a serviços executados com as seguintes características mínimas:</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Deverá haver a comprovação da experiência mínima de</w:t>
      </w:r>
      <w:r>
        <w:rPr>
          <w:rFonts w:hint="default" w:ascii="Arial" w:hAnsi="Arial"/>
          <w:color w:val="000000" w:themeColor="text1"/>
          <w:sz w:val="21"/>
          <w:szCs w:val="21"/>
          <w:lang w:val="pt-BR" w:eastAsia="en-US"/>
          <w14:textFill>
            <w14:solidFill>
              <w14:schemeClr w14:val="tx1"/>
            </w14:solidFill>
          </w14:textFill>
        </w:rPr>
        <w:t xml:space="preserve"> 3 (três)</w:t>
      </w:r>
      <w:r>
        <w:rPr>
          <w:rFonts w:hint="default" w:ascii="Arial" w:hAnsi="Arial"/>
          <w:color w:val="000000" w:themeColor="text1"/>
          <w:sz w:val="21"/>
          <w:szCs w:val="21"/>
          <w:lang w:eastAsia="en-US"/>
          <w14:textFill>
            <w14:solidFill>
              <w14:schemeClr w14:val="tx1"/>
            </w14:solidFill>
          </w14:textFill>
        </w:rPr>
        <w:t xml:space="preserve"> anos na prestação dos serviços, sendo aceito o somatório de atestados de períodos diferentes, não havendo obrigatoriedade de os</w:t>
      </w:r>
      <w:r>
        <w:rPr>
          <w:rFonts w:hint="default" w:ascii="Arial" w:hAnsi="Arial"/>
          <w:color w:val="000000" w:themeColor="text1"/>
          <w:sz w:val="21"/>
          <w:szCs w:val="21"/>
          <w:lang w:val="pt-BR" w:eastAsia="en-US"/>
          <w14:textFill>
            <w14:solidFill>
              <w14:schemeClr w14:val="tx1"/>
            </w14:solidFill>
          </w14:textFill>
        </w:rPr>
        <w:t xml:space="preserve"> 3 (três)</w:t>
      </w:r>
      <w:r>
        <w:rPr>
          <w:rFonts w:hint="default" w:ascii="Arial" w:hAnsi="Arial"/>
          <w:color w:val="000000" w:themeColor="text1"/>
          <w:sz w:val="21"/>
          <w:szCs w:val="21"/>
          <w:lang w:eastAsia="en-US"/>
          <w14:textFill>
            <w14:solidFill>
              <w14:schemeClr w14:val="tx1"/>
            </w14:solidFill>
          </w14:textFill>
        </w:rPr>
        <w:t xml:space="preserve">  anos serem ininterruptos, conforme item 10.7.1 do Anexo VII-A da IN SEGES/MPDG n. 5/2017.</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CNPJ, nome comercial, endereço e telefone da(s) sociedade(s) atestante(s);</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nome, cargo/função, endereço, telefone e e-mail do(s) representante(s) da(s) sociedade(s) atestante(s) que vier(em) a assinar o(s) atestado(s), a fim de que o IFPB possa com ele(s) manter contato;</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CNPJ e nome da sociedade contratada pela(s) sociedade(s) atestante(s) para a execução do objeto atestado;</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descrição do objeto atestado, contendo dados que permitam a aferição de sua similaridade com o objeto licitado, nos termos da alínea “a” deste inciso;</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data da emissão do(s) atestado(s); e</w:t>
      </w:r>
    </w:p>
    <w:p>
      <w:pPr>
        <w:pStyle w:val="43"/>
        <w:keepNext w:val="0"/>
        <w:widowControl/>
        <w:numPr>
          <w:ilvl w:val="5"/>
          <w:numId w:val="2"/>
        </w:numPr>
        <w:shd w:val="clear" w:color="auto" w:fill="auto"/>
        <w:spacing w:before="120" w:after="120"/>
        <w:ind w:left="168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assinatura do(s) representante(s) da(s) sociedade(s) atestante(s).</w:t>
      </w:r>
    </w:p>
    <w:bookmarkEnd w:id="4"/>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bookmarkStart w:id="5" w:name="_Hlk519177818"/>
      <w:r>
        <w:rPr>
          <w:rFonts w:hint="default" w:ascii="Arial" w:hAnsi="Arial"/>
          <w:color w:val="000000" w:themeColor="text1"/>
          <w:sz w:val="21"/>
          <w:szCs w:val="21"/>
          <w:lang w:eastAsia="en-US"/>
          <w14:textFill>
            <w14:solidFill>
              <w14:schemeClr w14:val="tx1"/>
            </w14:solidFill>
          </w14:textFill>
        </w:rPr>
        <w:t xml:space="preserve">Os atestados deverão referir-se a serviços prestados no âmbito de sua atividade econômica principal ou secundária especificadas no contrato social vigente; </w:t>
      </w:r>
    </w:p>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bookmarkEnd w:id="5"/>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6" w:name="_Hlk519177062"/>
      <w:r>
        <w:rPr>
          <w:rFonts w:hint="default" w:ascii="Arial" w:hAnsi="Arial"/>
          <w:color w:val="000000" w:themeColor="text1"/>
          <w:sz w:val="21"/>
          <w:szCs w:val="21"/>
          <w:lang w:eastAsia="en-US"/>
          <w14:textFill>
            <w14:solidFill>
              <w14:schemeClr w14:val="tx1"/>
            </w14:solidFill>
          </w14:textFill>
        </w:rPr>
        <w:t>nos termos do item 10.9 do Anexo VII-A da IN SEGES/MP n. 5/2017.</w:t>
      </w:r>
    </w:p>
    <w:bookmarkEnd w:id="6"/>
    <w:p>
      <w:pPr>
        <w:pStyle w:val="43"/>
        <w:keepNext w:val="0"/>
        <w:widowControl/>
        <w:numPr>
          <w:ilvl w:val="3"/>
          <w:numId w:val="2"/>
        </w:numPr>
        <w:shd w:val="clear" w:color="auto" w:fill="auto"/>
        <w:spacing w:before="120" w:after="120"/>
        <w:ind w:left="840" w:leftChars="0" w:firstLine="0" w:firstLineChars="0"/>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bookmarkStart w:id="7" w:name="_Hlk518983267"/>
      <w:r>
        <w:rPr>
          <w:rFonts w:hint="default" w:ascii="Arial" w:hAnsi="Arial" w:cs="Arial"/>
          <w:b w:val="0"/>
          <w:bCs w:val="0"/>
          <w:color w:val="000000" w:themeColor="text1"/>
          <w:sz w:val="21"/>
          <w:szCs w:val="21"/>
          <w:lang w:eastAsia="ar-SA"/>
          <w14:textFill>
            <w14:solidFill>
              <w14:schemeClr w14:val="tx1"/>
            </w14:solidFill>
          </w14:textFill>
        </w:rPr>
        <w:t>As empresas, cadastradas ou não no SICAF, deverão apresentar atestado de vistoria assinado pelo servidor responsável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assume total responsabilidade por este fato e não utilizará deste para quaisquer questionamentos futuros que ensejem desavenças técnicas ou financeiras com a contratante.</w:t>
      </w:r>
    </w:p>
    <w:bookmarkEnd w:id="7"/>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A existência de restrição relativamente à regularidade fiscal e trabalhista não impede que a licitante qualificada como microempresa ou empresa de pequeno porte seja declarada vencedora, uma vez que atenda a todas as demais exigências do edital.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A declaração do vencedor acontecerá no momento imediatamente posterior à fase de habilitação.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 xml:space="preserve">Caso a proposta mais vantajosa seja ofertada por microempresa, empresa de pequeno porte ou sociedade cooperativa equiparada, e uma vez constatada a existência de alguma restrição no que tange à regularidade fiscal e trabalhista, a mesma será convocada para, no prazo de </w:t>
      </w:r>
      <w:r>
        <w:rPr>
          <w:rFonts w:hint="default" w:ascii="Arial" w:hAnsi="Arial" w:cs="Arial"/>
          <w:b/>
          <w:bCs/>
          <w:i/>
          <w:iCs/>
          <w:color w:val="000000" w:themeColor="text1"/>
          <w:sz w:val="21"/>
          <w:szCs w:val="21"/>
          <w:lang w:eastAsia="ar-SA"/>
          <w14:textFill>
            <w14:solidFill>
              <w14:schemeClr w14:val="tx1"/>
            </w14:solidFill>
          </w14:textFill>
        </w:rPr>
        <w:t>5 (cinco) dias úteis</w:t>
      </w:r>
      <w:r>
        <w:rPr>
          <w:rFonts w:hint="default" w:ascii="Arial" w:hAnsi="Arial" w:cs="Arial"/>
          <w:b w:val="0"/>
          <w:bCs w:val="0"/>
          <w:color w:val="000000" w:themeColor="text1"/>
          <w:sz w:val="21"/>
          <w:szCs w:val="21"/>
          <w:lang w:eastAsia="ar-SA"/>
          <w14:textFill>
            <w14:solidFill>
              <w14:schemeClr w14:val="tx1"/>
            </w14:solidFill>
          </w14:textFill>
        </w:rPr>
        <w:t>, após a declaração do vencedor, comprovar a regularização. O prazo poderá ser prorrogado por igual período, a critério da administração pública, quando requerida pelo licitante, mediante apresentação de justificativa.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Havendo necessidade de analisar minuciosamente os documentos exigidos, o Pregoeiro suspenderá a sessão, informando no “chat” a nova data e horário para a continuidade da mesma.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ar-SA"/>
          <w14:textFill>
            <w14:solidFill>
              <w14:schemeClr w14:val="tx1"/>
            </w14:solidFill>
          </w14:textFill>
        </w:rPr>
      </w:pPr>
      <w:r>
        <w:rPr>
          <w:rFonts w:hint="default" w:ascii="Arial" w:hAnsi="Arial" w:cs="Arial"/>
          <w:b w:val="0"/>
          <w:bCs w:val="0"/>
          <w:color w:val="000000" w:themeColor="text1"/>
          <w:sz w:val="21"/>
          <w:szCs w:val="21"/>
          <w:lang w:eastAsia="ar-SA"/>
          <w14:textFill>
            <w14:solidFill>
              <w14:schemeClr w14:val="tx1"/>
            </w14:solidFill>
          </w14:textFill>
        </w:rPr>
        <w:t>Será inabilitado o licitante que não comprovar sua habilitação, seja por não apresentar quaisquer dos documentos exigidos, ou apresentá-los em desacordo com o e</w:t>
      </w:r>
      <w:r>
        <w:rPr>
          <w:rFonts w:hint="default" w:ascii="Arial" w:hAnsi="Arial" w:cs="Arial"/>
          <w:b w:val="0"/>
          <w:bCs w:val="0"/>
          <w:color w:val="000000" w:themeColor="text1"/>
          <w:sz w:val="21"/>
          <w:szCs w:val="21"/>
          <w:lang w:eastAsia="en-US"/>
          <w14:textFill>
            <w14:solidFill>
              <w14:schemeClr w14:val="tx1"/>
            </w14:solidFill>
          </w14:textFill>
        </w:rPr>
        <w:t>stabelecido neste Edital.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Nos itens não exclusivos a microempresas e empresas de pequeno porte, em havendo  inabilitação, haverá nova verificação, pelo sistema, da eventual ocorrência do empate ficto, previsto nos artigos 44 e 45 da LC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123, de 2006, seguindo-se a disciplina antes estabelecida para aceitação da proposta subsequente.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Constatado o atendimento às exigências de habilitação fixadas no Edital, o licitante será declarado vencedor.</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DO ENCAMINHAMENTO DA PROPOSTA VENCEDORA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 proposta final do licitante declarado vencedor deverá ser encaminhada no prazo de </w:t>
      </w:r>
      <w:r>
        <w:rPr>
          <w:rFonts w:hint="default" w:ascii="Arial" w:hAnsi="Arial" w:cs="Arial"/>
          <w:b/>
          <w:bCs/>
          <w:i/>
          <w:iCs/>
          <w:color w:val="000000" w:themeColor="text1"/>
          <w:sz w:val="21"/>
          <w:szCs w:val="21"/>
          <w:lang w:val="pt-BR" w:eastAsia="en-US"/>
          <w14:textFill>
            <w14:solidFill>
              <w14:schemeClr w14:val="tx1"/>
            </w14:solidFill>
          </w14:textFill>
        </w:rPr>
        <w:t xml:space="preserve">2 </w:t>
      </w:r>
      <w:r>
        <w:rPr>
          <w:rFonts w:hint="default" w:ascii="Arial" w:hAnsi="Arial" w:cs="Arial"/>
          <w:b/>
          <w:bCs/>
          <w:i/>
          <w:iCs/>
          <w:color w:val="000000" w:themeColor="text1"/>
          <w:sz w:val="21"/>
          <w:szCs w:val="21"/>
          <w:lang w:eastAsia="en-US"/>
          <w14:textFill>
            <w14:solidFill>
              <w14:schemeClr w14:val="tx1"/>
            </w14:solidFill>
          </w14:textFill>
        </w:rPr>
        <w:t>(</w:t>
      </w:r>
      <w:r>
        <w:rPr>
          <w:rFonts w:hint="default" w:ascii="Arial" w:hAnsi="Arial" w:cs="Arial"/>
          <w:b/>
          <w:bCs/>
          <w:i/>
          <w:iCs/>
          <w:color w:val="000000" w:themeColor="text1"/>
          <w:sz w:val="21"/>
          <w:szCs w:val="21"/>
          <w:lang w:val="pt-BR" w:eastAsia="en-US"/>
          <w14:textFill>
            <w14:solidFill>
              <w14:schemeClr w14:val="tx1"/>
            </w14:solidFill>
          </w14:textFill>
        </w:rPr>
        <w:t>duas</w:t>
      </w:r>
      <w:r>
        <w:rPr>
          <w:rFonts w:hint="default" w:ascii="Arial" w:hAnsi="Arial" w:cs="Arial"/>
          <w:b/>
          <w:bCs/>
          <w:i/>
          <w:iCs/>
          <w:color w:val="000000" w:themeColor="text1"/>
          <w:sz w:val="21"/>
          <w:szCs w:val="21"/>
          <w:lang w:eastAsia="en-US"/>
          <w14:textFill>
            <w14:solidFill>
              <w14:schemeClr w14:val="tx1"/>
            </w14:solidFill>
          </w14:textFill>
        </w:rPr>
        <w:t>) horas</w:t>
      </w:r>
      <w:r>
        <w:rPr>
          <w:rFonts w:hint="default" w:ascii="Arial" w:hAnsi="Arial" w:cs="Arial"/>
          <w:b w:val="0"/>
          <w:bCs w:val="0"/>
          <w:color w:val="000000" w:themeColor="text1"/>
          <w:sz w:val="21"/>
          <w:szCs w:val="21"/>
          <w:lang w:eastAsia="en-US"/>
          <w14:textFill>
            <w14:solidFill>
              <w14:schemeClr w14:val="tx1"/>
            </w14:solidFill>
          </w14:textFill>
        </w:rPr>
        <w:t>, a contar da solicitação do Pregoeiro no sistema eletrônico e deverá:</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ser redigida em língua portuguesa, datilografada ou digitada, em uma via, sem emendas, rasuras, entrelinhas ou ressalvas, devendo a última folha ser assinada e as demais rubricadas pelo licitante ou seu representante legal.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conter a indicação do banco, número da conta e agência do licitante  vencedor, para fins de pagamento.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  </w:t>
      </w:r>
      <w:r>
        <w:rPr>
          <w:rFonts w:hint="default" w:ascii="Arial" w:hAnsi="Arial" w:cs="Arial"/>
          <w:b w:val="0"/>
          <w:bCs w:val="0"/>
          <w:color w:val="000000" w:themeColor="text1"/>
          <w:sz w:val="21"/>
          <w:szCs w:val="21"/>
          <w:lang w:eastAsia="en-US"/>
          <w14:textFill>
            <w14:solidFill>
              <w14:schemeClr w14:val="tx1"/>
            </w14:solidFill>
          </w14:textFill>
        </w:rPr>
        <w:tab/>
      </w:r>
      <w:r>
        <w:rPr>
          <w:rFonts w:hint="default" w:ascii="Arial" w:hAnsi="Arial" w:cs="Arial"/>
          <w:b w:val="0"/>
          <w:bCs w:val="0"/>
          <w:color w:val="000000" w:themeColor="text1"/>
          <w:sz w:val="21"/>
          <w:szCs w:val="21"/>
          <w:lang w:eastAsia="en-US"/>
          <w14:textFill>
            <w14:solidFill>
              <w14:schemeClr w14:val="tx1"/>
            </w14:solidFill>
          </w14:textFill>
        </w:rPr>
        <w:t>A proposta final deverá ser documentada nos autos e será levada em consideração no decorrer da execução do contrato e aplicação de eventual sanção à Contratada, se for o caso.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Todas as especificações do objeto contidas na proposta vinculam a Contratada.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 </w:t>
      </w:r>
      <w:r>
        <w:rPr>
          <w:rFonts w:hint="default" w:ascii="Arial" w:hAnsi="Arial" w:cs="Arial"/>
          <w:b w:val="0"/>
          <w:bCs w:val="0"/>
          <w:color w:val="000000" w:themeColor="text1"/>
          <w:sz w:val="21"/>
          <w:szCs w:val="21"/>
          <w:lang w:eastAsia="en-US"/>
          <w14:textFill>
            <w14:solidFill>
              <w14:schemeClr w14:val="tx1"/>
            </w14:solidFill>
          </w14:textFill>
        </w:rPr>
        <w:tab/>
      </w:r>
      <w:r>
        <w:rPr>
          <w:rFonts w:hint="default" w:ascii="Arial" w:hAnsi="Arial" w:cs="Arial"/>
          <w:b w:val="0"/>
          <w:bCs w:val="0"/>
          <w:color w:val="000000" w:themeColor="text1"/>
          <w:sz w:val="21"/>
          <w:szCs w:val="21"/>
          <w:lang w:eastAsia="en-US"/>
          <w14:textFill>
            <w14:solidFill>
              <w14:schemeClr w14:val="tx1"/>
            </w14:solidFill>
          </w14:textFill>
        </w:rPr>
        <w:t xml:space="preserve">Os preços deverão ser expressos em moeda corrente nacional, o valor unitário em algarismos e o valor global em algarismos e por extenso (art. 5º da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8.666/93).</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Ocorrendo divergência entre os preços unitários e o preço global, prevalecerão os primeiros; no caso de divergência entre os valores numéricos e os valores expressos por extenso, prevalecerão estes últimos.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 </w:t>
      </w:r>
      <w:r>
        <w:rPr>
          <w:rFonts w:hint="default" w:ascii="Arial" w:hAnsi="Arial" w:cs="Arial"/>
          <w:b w:val="0"/>
          <w:bCs w:val="0"/>
          <w:color w:val="000000" w:themeColor="text1"/>
          <w:sz w:val="21"/>
          <w:szCs w:val="21"/>
          <w:lang w:eastAsia="en-US"/>
          <w14:textFill>
            <w14:solidFill>
              <w14:schemeClr w14:val="tx1"/>
            </w14:solidFill>
          </w14:textFill>
        </w:rPr>
        <w:tab/>
      </w:r>
      <w:r>
        <w:rPr>
          <w:rFonts w:hint="default" w:ascii="Arial" w:hAnsi="Arial" w:cs="Arial"/>
          <w:b w:val="0"/>
          <w:bCs w:val="0"/>
          <w:color w:val="000000" w:themeColor="text1"/>
          <w:sz w:val="21"/>
          <w:szCs w:val="21"/>
          <w:lang w:eastAsia="en-US"/>
          <w14:textFill>
            <w14:solidFill>
              <w14:schemeClr w14:val="tx1"/>
            </w14:solidFill>
          </w14:textFill>
        </w:rPr>
        <w:t>A oferta deverá ser firme e precisa, limitada, rigorosamente, ao objeto deste Edital, sem conter alternativas de preço ou de qualquer outra condição que induza o julgamento a mais de um resultado, sob pena de desclassificação.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 </w:t>
      </w:r>
      <w:r>
        <w:rPr>
          <w:rFonts w:hint="default" w:ascii="Arial" w:hAnsi="Arial" w:cs="Arial"/>
          <w:b w:val="0"/>
          <w:bCs w:val="0"/>
          <w:color w:val="000000" w:themeColor="text1"/>
          <w:sz w:val="21"/>
          <w:szCs w:val="21"/>
          <w:lang w:eastAsia="en-US"/>
          <w14:textFill>
            <w14:solidFill>
              <w14:schemeClr w14:val="tx1"/>
            </w14:solidFill>
          </w14:textFill>
        </w:rPr>
        <w:tab/>
      </w:r>
      <w:r>
        <w:rPr>
          <w:rFonts w:hint="default" w:ascii="Arial" w:hAnsi="Arial" w:cs="Arial"/>
          <w:b w:val="0"/>
          <w:bCs w:val="0"/>
          <w:color w:val="000000" w:themeColor="text1"/>
          <w:sz w:val="21"/>
          <w:szCs w:val="21"/>
          <w:lang w:eastAsia="en-US"/>
          <w14:textFill>
            <w14:solidFill>
              <w14:schemeClr w14:val="tx1"/>
            </w14:solidFill>
          </w14:textFill>
        </w:rPr>
        <w:t>A proposta deverá obedecer aos termos deste Edital e seus Anexos, não sendo considerada aquela que não corresponda às especificações ali contidas ou que estabeleça vínculo à proposta de outro licitante.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propostas que contenham a descrição do objeto, o valor e os documentos complementares estarão disponíveis na internet, após a homologação.</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DOS RECURSOS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Havendo quem se manifeste, caberá ao Pregoeiro verificar a tempestividade e a existência de motivação da intenção de recorrer, para decidir se admite ou não o recurso, fundamentadamente.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Nesse momento o Pregoeiro não adentrará no mérito recursal, mas apenas verificará as condições de admissibilidade do recurso.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falta de manifestação motivada do licitante quanto à intenção de recorrer importará a decadência desse direito.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O acolhimento do recurso invalida tão somente os atos insuscetíveis de aproveitamento.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Os autos do processo permanecerão com vista franqueada aos interessados, no endereço constante neste Edital.</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 REABERTURA DA SESSÃO PÚBLICA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sessão pública poderá ser reaberta: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123/2006, serão adotados os procedimentos imediatamente posteriores ao encerramento da etapa de lances.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Todos os licitantes remanescentes deverão ser convocados para acompanhar a sessão reaberta.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convocação se dará por meio do sistema eletrônico (“chat”) ou e-mail de acordo com a fase do procedimento licitatório.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convocação feita por e-mail dar-se-á de acordo com os dados contidos no SICAF, sendo responsabilidade do licitante manter seus dados cadastrais atualizados.</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 ADJUDICAÇÃO E HOMOLOGAÇÃO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 objeto da licitação será adjudicado ao licitante declarado vencedor, por ato do Pregoeiro, caso não haja interposição de recurso, ou pela autoridade competente, após a regular decisão dos recursos apresentados.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Após a fase recursal, constatada a regularidade dos atos praticados, a autoridade competente homologará o procedimento licitatório. </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 GARANTIA DE EXECUÇÃO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Será exigida a prestação de garantia na presente contratação, conforme regras constantes do Termo de Referência</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 ATA DE REGISTRO DE PREÇOS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Homologado o resultado da licitação, terá o adjudicatário o prazo de </w:t>
      </w:r>
      <w:r>
        <w:rPr>
          <w:rFonts w:hint="default" w:ascii="Arial" w:hAnsi="Arial" w:cs="Arial"/>
          <w:b/>
          <w:bCs/>
          <w:i/>
          <w:iCs/>
          <w:color w:val="000000" w:themeColor="text1"/>
          <w:sz w:val="21"/>
          <w:szCs w:val="21"/>
          <w:lang w:val="pt-BR" w:eastAsia="en-US"/>
          <w14:textFill>
            <w14:solidFill>
              <w14:schemeClr w14:val="tx1"/>
            </w14:solidFill>
          </w14:textFill>
        </w:rPr>
        <w:t>5</w:t>
      </w:r>
      <w:r>
        <w:rPr>
          <w:rFonts w:hint="default" w:ascii="Arial" w:hAnsi="Arial" w:cs="Arial"/>
          <w:b/>
          <w:bCs/>
          <w:i/>
          <w:iCs/>
          <w:color w:val="000000" w:themeColor="text1"/>
          <w:sz w:val="21"/>
          <w:szCs w:val="21"/>
          <w:lang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cinco</w:t>
      </w:r>
      <w:r>
        <w:rPr>
          <w:rFonts w:hint="default" w:ascii="Arial" w:hAnsi="Arial" w:cs="Arial"/>
          <w:b/>
          <w:bCs/>
          <w:i/>
          <w:iCs/>
          <w:color w:val="000000" w:themeColor="text1"/>
          <w:sz w:val="21"/>
          <w:szCs w:val="21"/>
          <w:lang w:eastAsia="en-US"/>
          <w14:textFill>
            <w14:solidFill>
              <w14:schemeClr w14:val="tx1"/>
            </w14:solidFill>
          </w14:textFill>
        </w:rPr>
        <w:t>) dias</w:t>
      </w:r>
      <w:r>
        <w:rPr>
          <w:rFonts w:hint="default" w:ascii="Arial" w:hAnsi="Arial" w:cs="Arial"/>
          <w:b w:val="0"/>
          <w:bCs w:val="0"/>
          <w:color w:val="000000" w:themeColor="text1"/>
          <w:sz w:val="21"/>
          <w:szCs w:val="21"/>
          <w:lang w:eastAsia="en-US"/>
          <w14:textFill>
            <w14:solidFill>
              <w14:schemeClr w14:val="tx1"/>
            </w14:solidFill>
          </w14:textFill>
        </w:rPr>
        <w:t xml:space="preserve">, contados a partir da data de sua convocação, para assinar a Ata de Registro de Preços, cujo prazo de validade encontra-se nela fixado, sob pena de decair do direito à contratação, sem prejuízo das sanções previstas neste Edital.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Pr>
          <w:rFonts w:hint="default" w:ascii="Arial" w:hAnsi="Arial" w:cs="Arial"/>
          <w:b/>
          <w:bCs/>
          <w:i/>
          <w:iCs/>
          <w:color w:val="000000" w:themeColor="text1"/>
          <w:sz w:val="21"/>
          <w:szCs w:val="21"/>
          <w:lang w:val="pt-BR" w:eastAsia="en-US"/>
          <w14:textFill>
            <w14:solidFill>
              <w14:schemeClr w14:val="tx1"/>
            </w14:solidFill>
          </w14:textFill>
        </w:rPr>
        <w:t>5</w:t>
      </w:r>
      <w:r>
        <w:rPr>
          <w:rFonts w:hint="default" w:ascii="Arial" w:hAnsi="Arial" w:cs="Arial"/>
          <w:b/>
          <w:bCs/>
          <w:i/>
          <w:iCs/>
          <w:color w:val="000000" w:themeColor="text1"/>
          <w:sz w:val="21"/>
          <w:szCs w:val="21"/>
          <w:lang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cinco</w:t>
      </w:r>
      <w:r>
        <w:rPr>
          <w:rFonts w:hint="default" w:ascii="Arial" w:hAnsi="Arial" w:cs="Arial"/>
          <w:b/>
          <w:bCs/>
          <w:i/>
          <w:iCs/>
          <w:color w:val="000000" w:themeColor="text1"/>
          <w:sz w:val="21"/>
          <w:szCs w:val="21"/>
          <w:lang w:eastAsia="en-US"/>
          <w14:textFill>
            <w14:solidFill>
              <w14:schemeClr w14:val="tx1"/>
            </w14:solidFill>
          </w14:textFill>
        </w:rPr>
        <w:t>) dias</w:t>
      </w:r>
      <w:r>
        <w:rPr>
          <w:rFonts w:hint="default" w:ascii="Arial" w:hAnsi="Arial" w:cs="Arial"/>
          <w:b w:val="0"/>
          <w:bCs w:val="0"/>
          <w:color w:val="000000" w:themeColor="text1"/>
          <w:sz w:val="21"/>
          <w:szCs w:val="21"/>
          <w:lang w:eastAsia="en-US"/>
          <w14:textFill>
            <w14:solidFill>
              <w14:schemeClr w14:val="tx1"/>
            </w14:solidFill>
          </w14:textFill>
        </w:rPr>
        <w:t>, a contar da data de seu recebimento.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 prazo estabelecido no subitem anterior para assinatura da Ata de Registro de Preços poderá ser prorrogado uma única vez, por igual período, quando solicitado pelo(s) licitante(s) vencedor(s), durante o seu transcurso, e desde que devidamente aceito.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Será incluído na ata, sob a forma de anexo, o registro dos licitantes que aceitarem cotar os bens ou serviços com preços iguais aos do licitante vencedor na sequência da classificação do certame.</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DO TERMO DE CONTRATO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Após a homologação da licitação, em sendo realizada a contratação, será firmado Termo de Contrato ou emitido instrumento equivalente.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O adjudicatário terá o prazo de </w:t>
      </w:r>
      <w:r>
        <w:rPr>
          <w:rFonts w:hint="default" w:ascii="Arial" w:hAnsi="Arial" w:cs="Arial"/>
          <w:b/>
          <w:bCs/>
          <w:i/>
          <w:iCs/>
          <w:color w:val="000000" w:themeColor="text1"/>
          <w:sz w:val="21"/>
          <w:szCs w:val="21"/>
          <w:lang w:val="pt-BR" w:eastAsia="en-US"/>
          <w14:textFill>
            <w14:solidFill>
              <w14:schemeClr w14:val="tx1"/>
            </w14:solidFill>
          </w14:textFill>
        </w:rPr>
        <w:t xml:space="preserve">10 </w:t>
      </w:r>
      <w:r>
        <w:rPr>
          <w:rFonts w:hint="default" w:ascii="Arial" w:hAnsi="Arial" w:cs="Arial"/>
          <w:b/>
          <w:bCs/>
          <w:i/>
          <w:iCs/>
          <w:color w:val="000000" w:themeColor="text1"/>
          <w:sz w:val="21"/>
          <w:szCs w:val="21"/>
          <w:lang w:eastAsia="en-US"/>
          <w14:textFill>
            <w14:solidFill>
              <w14:schemeClr w14:val="tx1"/>
            </w14:solidFill>
          </w14:textFill>
        </w:rPr>
        <w:t>(</w:t>
      </w:r>
      <w:r>
        <w:rPr>
          <w:rFonts w:hint="default" w:ascii="Arial" w:hAnsi="Arial" w:cs="Arial"/>
          <w:b/>
          <w:bCs/>
          <w:i/>
          <w:iCs/>
          <w:color w:val="000000" w:themeColor="text1"/>
          <w:sz w:val="21"/>
          <w:szCs w:val="21"/>
          <w:lang w:val="pt-BR" w:eastAsia="en-US"/>
          <w14:textFill>
            <w14:solidFill>
              <w14:schemeClr w14:val="tx1"/>
            </w14:solidFill>
          </w14:textFill>
        </w:rPr>
        <w:t>dez</w:t>
      </w:r>
      <w:r>
        <w:rPr>
          <w:rFonts w:hint="default" w:ascii="Arial" w:hAnsi="Arial" w:cs="Arial"/>
          <w:b/>
          <w:bCs/>
          <w:i/>
          <w:iCs/>
          <w:color w:val="000000" w:themeColor="text1"/>
          <w:sz w:val="21"/>
          <w:szCs w:val="21"/>
          <w:lang w:eastAsia="en-US"/>
          <w14:textFill>
            <w14:solidFill>
              <w14:schemeClr w14:val="tx1"/>
            </w14:solidFill>
          </w14:textFill>
        </w:rPr>
        <w:t>) dias úteis</w:t>
      </w:r>
      <w:r>
        <w:rPr>
          <w:rFonts w:hint="default" w:ascii="Arial" w:hAnsi="Arial" w:cs="Arial"/>
          <w:b w:val="0"/>
          <w:bCs w:val="0"/>
          <w:color w:val="000000" w:themeColor="text1"/>
          <w:sz w:val="21"/>
          <w:szCs w:val="21"/>
          <w:lang w:eastAsia="en-US"/>
          <w14:textFill>
            <w14:solidFill>
              <w14:schemeClr w14:val="tx1"/>
            </w14:solidFill>
          </w14:textFill>
        </w:rPr>
        <w:t xml:space="preserve">, contados a partir da data de sua convocação, para assinar o Termo de Contrato ou aceitar instrumento equivalente, conforme o caso, sob pena de decair do direito à contratação, sem prejuízo das sanções previstas neste Edital.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Pr>
          <w:rFonts w:hint="default" w:ascii="Arial" w:hAnsi="Arial" w:cs="Arial"/>
          <w:b w:val="0"/>
          <w:bCs w:val="0"/>
          <w:color w:val="000000" w:themeColor="text1"/>
          <w:sz w:val="21"/>
          <w:szCs w:val="21"/>
          <w:lang w:val="pt-BR" w:eastAsia="en-US"/>
          <w14:textFill>
            <w14:solidFill>
              <w14:schemeClr w14:val="tx1"/>
            </w14:solidFill>
          </w14:textFill>
        </w:rPr>
        <w:t xml:space="preserve"> </w:t>
      </w:r>
      <w:r>
        <w:rPr>
          <w:rFonts w:hint="default" w:ascii="Arial" w:hAnsi="Arial" w:cs="Arial"/>
          <w:b/>
          <w:bCs/>
          <w:i/>
          <w:iCs/>
          <w:color w:val="000000" w:themeColor="text1"/>
          <w:sz w:val="21"/>
          <w:szCs w:val="21"/>
          <w:lang w:val="pt-BR" w:eastAsia="en-US"/>
          <w14:textFill>
            <w14:solidFill>
              <w14:schemeClr w14:val="tx1"/>
            </w14:solidFill>
          </w14:textFill>
        </w:rPr>
        <w:t xml:space="preserve">5 </w:t>
      </w:r>
      <w:r>
        <w:rPr>
          <w:rFonts w:hint="default" w:ascii="Arial" w:hAnsi="Arial" w:cs="Arial"/>
          <w:b/>
          <w:bCs/>
          <w:i/>
          <w:iCs/>
          <w:color w:val="000000" w:themeColor="text1"/>
          <w:sz w:val="21"/>
          <w:szCs w:val="21"/>
          <w:lang w:eastAsia="en-US"/>
          <w14:textFill>
            <w14:solidFill>
              <w14:schemeClr w14:val="tx1"/>
            </w14:solidFill>
          </w14:textFill>
        </w:rPr>
        <w:t>(</w:t>
      </w:r>
      <w:r>
        <w:rPr>
          <w:rFonts w:hint="default" w:ascii="Arial" w:hAnsi="Arial" w:cs="Arial"/>
          <w:b/>
          <w:bCs/>
          <w:i/>
          <w:iCs/>
          <w:color w:val="000000" w:themeColor="text1"/>
          <w:sz w:val="21"/>
          <w:szCs w:val="21"/>
          <w:lang w:val="pt-BR" w:eastAsia="en-US"/>
          <w14:textFill>
            <w14:solidFill>
              <w14:schemeClr w14:val="tx1"/>
            </w14:solidFill>
          </w14:textFill>
        </w:rPr>
        <w:t>cinco</w:t>
      </w:r>
      <w:r>
        <w:rPr>
          <w:rFonts w:hint="default" w:ascii="Arial" w:hAnsi="Arial" w:cs="Arial"/>
          <w:b/>
          <w:bCs/>
          <w:i/>
          <w:iCs/>
          <w:color w:val="000000" w:themeColor="text1"/>
          <w:sz w:val="21"/>
          <w:szCs w:val="21"/>
          <w:lang w:eastAsia="en-US"/>
          <w14:textFill>
            <w14:solidFill>
              <w14:schemeClr w14:val="tx1"/>
            </w14:solidFill>
          </w14:textFill>
        </w:rPr>
        <w:t>) dias</w:t>
      </w:r>
      <w:r>
        <w:rPr>
          <w:rFonts w:hint="default" w:ascii="Arial" w:hAnsi="Arial" w:cs="Arial"/>
          <w:b w:val="0"/>
          <w:bCs w:val="0"/>
          <w:color w:val="000000" w:themeColor="text1"/>
          <w:sz w:val="21"/>
          <w:szCs w:val="21"/>
          <w:lang w:eastAsia="en-US"/>
          <w14:textFill>
            <w14:solidFill>
              <w14:schemeClr w14:val="tx1"/>
            </w14:solidFill>
          </w14:textFill>
        </w:rPr>
        <w:t xml:space="preserve">, a contar da data de seu recebimento.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 prazo previsto no subitem anterior poderá ser prorrogado, por igual período, por solicitação justificada do adjudicatário e aceita pela Administração.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 Aceite da Nota de Empenho ou do instrumento equivalente, emitida à empresa adjudicada, implica no reconhecimento de que: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referida Nota está substituindo o contrato, aplicando-se à relação de negócios ali estabelecida as disposições da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8.666, de 1993;</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contratada se vincula à sua proposta e às previsões contidas no edital e seus anexos;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 contratada reconhece que as hipóteses de rescisão são aquelas previstas nos artigos 77 e 78 da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8.666/93 e reconhece os direitos da Administração previstos nos artigos 79 e 80 da mesma Lei.</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O prazo de vigência da contratação é de </w:t>
      </w:r>
      <w:r>
        <w:rPr>
          <w:rFonts w:hint="default" w:ascii="Arial" w:hAnsi="Arial" w:cs="Arial"/>
          <w:b w:val="0"/>
          <w:bCs w:val="0"/>
          <w:color w:val="000000" w:themeColor="text1"/>
          <w:sz w:val="21"/>
          <w:szCs w:val="21"/>
          <w:lang w:val="pt-BR" w:eastAsia="en-US"/>
          <w14:textFill>
            <w14:solidFill>
              <w14:schemeClr w14:val="tx1"/>
            </w14:solidFill>
          </w14:textFill>
        </w:rPr>
        <w:t>12 (doze) meses,</w:t>
      </w:r>
      <w:r>
        <w:rPr>
          <w:rFonts w:hint="default" w:ascii="Arial" w:hAnsi="Arial" w:cs="Arial"/>
          <w:b w:val="0"/>
          <w:bCs w:val="0"/>
          <w:color w:val="000000" w:themeColor="text1"/>
          <w:sz w:val="21"/>
          <w:szCs w:val="21"/>
          <w:lang w:eastAsia="en-US"/>
          <w14:textFill>
            <w14:solidFill>
              <w14:schemeClr w14:val="tx1"/>
            </w14:solidFill>
          </w14:textFill>
        </w:rPr>
        <w:t xml:space="preserve"> prorrogável conforme previsão no instrumento contratual ou no termo de referência.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3, de 26 de abril de 2018, e nos termos do art. 6º, III, da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10.522, de 19 de julho de 2002, consulta prévia ao CADIN.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Nos casos em que houver necessidade de assinatura do instrumento de contrato, e o fornecedor não estiver inscrito no SICAF, este deverá proceder ao seu cadastramento, sem ônus, antes da contratação.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Na hipótese de irregularidade do registro no SICAF, o contratado deverá regularizar a sua situação perante o cadastro no prazo de até </w:t>
      </w:r>
      <w:r>
        <w:rPr>
          <w:rFonts w:hint="default" w:ascii="Arial" w:hAnsi="Arial" w:cs="Arial"/>
          <w:b/>
          <w:bCs/>
          <w:i/>
          <w:iCs/>
          <w:color w:val="000000" w:themeColor="text1"/>
          <w:sz w:val="21"/>
          <w:szCs w:val="21"/>
          <w:lang w:eastAsia="en-US"/>
          <w14:textFill>
            <w14:solidFill>
              <w14:schemeClr w14:val="tx1"/>
            </w14:solidFill>
          </w14:textFill>
        </w:rPr>
        <w:t>5 (cinco) dias úteis</w:t>
      </w:r>
      <w:r>
        <w:rPr>
          <w:rFonts w:hint="default" w:ascii="Arial" w:hAnsi="Arial" w:cs="Arial"/>
          <w:b w:val="0"/>
          <w:bCs w:val="0"/>
          <w:color w:val="000000" w:themeColor="text1"/>
          <w:sz w:val="21"/>
          <w:szCs w:val="21"/>
          <w:lang w:eastAsia="en-US"/>
          <w14:textFill>
            <w14:solidFill>
              <w14:schemeClr w14:val="tx1"/>
            </w14:solidFill>
          </w14:textFill>
        </w:rPr>
        <w:t>, sob pena de aplicação das penalidades previstas no edital e anexos.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Na assinatura do contrato ou da ata de registro de preços, será exigida a comprovação das condições de habilitação consignadas no edital, que deverão ser mantidas pelo licitante durante a vigência do contrato ou da ata de registro de preços.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DO REAJUSTE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regras acerca do reajuste do valor contratual são as estabelecidas no Termo de Referência, anexo a este Edital.</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 ACEITAÇÃO DO OBJETO E DA FISCALIZAÇÃO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Os critérios de aceitação do objeto e de fiscalização estão previstos no Termo de Referência.</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DAS OBRIGAÇÕES DA CONTRATANTE E DA CONTRATADA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obrigações da Contratante e da Contratada são as estabelecidas no Termo de Referência.</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DO PAGAMENTO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regras acerca do pagamento são as estabelecidas no Termo de Referência, anexo a este Edital.</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DAS SANÇÕES ADMINISTRATIVAS.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Comete infração administrativa, nos termos da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10.520, de 2002, o licitante/adjudicatário que: </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não assinar o termo de contrato ou aceitar/retirar o instrumento equivalente, quando convocado dentro do prazo de validade da proposta;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não assinar a ata de registro de preços, quando cabível;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apresentar documentação falsa;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deixar de entregar os documentos exigidos no certame;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ensejar o retardamento da execução do objeto;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não mantiver a proposta;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cometer fraude fiscal;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comportar-se de modo inidôneo;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As sanções do item acima também se aplicam aos integrantes do cadastro de reserva, em pregão para registro de preços, que, convocados, não honrarem o compromisso assumido injustificadamente.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Considera-se comportamento inidôneo, entre outros, a declaração falsa quanto às condições de participação, quanto ao enquadramento como ME/EPP ou o conluio entre os licitantes, em qualquer momento da licitação, mesmo após o encerramento da fase de lances.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 licitante/adjudicatário que cometer qualquer das infrações discriminadas nos subitens anteriores ficará sujeito, sem prejuízo da responsabilidade civil e criminal, às seguintes sanções: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Advertência por faltas leves, assim entendidas como aquelas que não acarretarem prejuízos significativos ao objeto da contratação;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Multa de </w:t>
      </w:r>
      <w:r>
        <w:rPr>
          <w:rFonts w:hint="default" w:ascii="Arial" w:hAnsi="Arial"/>
          <w:b/>
          <w:bCs/>
          <w:i/>
          <w:iCs/>
          <w:color w:val="000000" w:themeColor="text1"/>
          <w:sz w:val="21"/>
          <w:szCs w:val="21"/>
          <w:lang w:eastAsia="en-US"/>
          <w14:textFill>
            <w14:solidFill>
              <w14:schemeClr w14:val="tx1"/>
            </w14:solidFill>
          </w14:textFill>
        </w:rPr>
        <w:t>10% (dez por cento)</w:t>
      </w:r>
      <w:r>
        <w:rPr>
          <w:rFonts w:hint="default" w:ascii="Arial" w:hAnsi="Arial"/>
          <w:b w:val="0"/>
          <w:bCs w:val="0"/>
          <w:color w:val="000000" w:themeColor="text1"/>
          <w:sz w:val="21"/>
          <w:szCs w:val="21"/>
          <w:lang w:eastAsia="en-US"/>
          <w14:textFill>
            <w14:solidFill>
              <w14:schemeClr w14:val="tx1"/>
            </w14:solidFill>
          </w14:textFill>
        </w:rPr>
        <w:t xml:space="preserve"> </w:t>
      </w:r>
      <w:r>
        <w:rPr>
          <w:rFonts w:hint="default" w:ascii="Arial" w:hAnsi="Arial" w:cs="Arial"/>
          <w:b w:val="0"/>
          <w:bCs w:val="0"/>
          <w:color w:val="000000" w:themeColor="text1"/>
          <w:sz w:val="21"/>
          <w:szCs w:val="21"/>
          <w:lang w:eastAsia="en-US"/>
          <w14:textFill>
            <w14:solidFill>
              <w14:schemeClr w14:val="tx1"/>
            </w14:solidFill>
          </w14:textFill>
        </w:rPr>
        <w:t xml:space="preserve"> sobre o valor estimado do(s) item(s) prejudicado(s) pela conduta do licitante;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Suspensão de licitar e impedimento de contratar com o órgão, entidade ou unidade administrativa pela qual a Administração Pública opera e atua concretamente, pelo prazo de até dois anos;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Impedimento de licitar e de contratar com a União e descredenciamento no SICAF, pelo prazo de até cinco anos;</w:t>
      </w:r>
    </w:p>
    <w:p>
      <w:pPr>
        <w:pStyle w:val="43"/>
        <w:keepNext w:val="0"/>
        <w:widowControl/>
        <w:numPr>
          <w:ilvl w:val="3"/>
          <w:numId w:val="2"/>
        </w:numPr>
        <w:shd w:val="clear" w:color="auto" w:fill="auto"/>
        <w:spacing w:before="120" w:after="120"/>
        <w:ind w:left="84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Sanção de impedimento de licitar e contratar prevista neste subitem também é aplicável em quaisquer das hipóteses previstas como infração administrativa no subitem 2</w:t>
      </w:r>
      <w:r>
        <w:rPr>
          <w:rFonts w:hint="default" w:ascii="Arial" w:hAnsi="Arial" w:cs="Arial"/>
          <w:b w:val="0"/>
          <w:bCs w:val="0"/>
          <w:color w:val="000000" w:themeColor="text1"/>
          <w:sz w:val="21"/>
          <w:szCs w:val="21"/>
          <w:lang w:val="pt-BR" w:eastAsia="en-US"/>
          <w14:textFill>
            <w14:solidFill>
              <w14:schemeClr w14:val="tx1"/>
            </w14:solidFill>
          </w14:textFill>
        </w:rPr>
        <w:t>1</w:t>
      </w:r>
      <w:r>
        <w:rPr>
          <w:rFonts w:hint="default" w:ascii="Arial" w:hAnsi="Arial" w:cs="Arial"/>
          <w:b w:val="0"/>
          <w:bCs w:val="0"/>
          <w:color w:val="000000" w:themeColor="text1"/>
          <w:sz w:val="21"/>
          <w:szCs w:val="21"/>
          <w:lang w:eastAsia="en-US"/>
          <w14:textFill>
            <w14:solidFill>
              <w14:schemeClr w14:val="tx1"/>
            </w14:solidFill>
          </w14:textFill>
        </w:rPr>
        <w:t>.1 deste Edital.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penalidade de multa pode ser aplicada cumulativamente com as demais sanções.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Se, durante o processo de aplicação de penalidade, houver indícios de prática de infração administrativa tipificada pela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 apuração e o julgamento das demais infrações administrativas não consideradas como ato lesivo à Administração Pública nacional ou estrangeira nos termos da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12.846, de 1º de agosto de 2013, seguirão seu rito normal na unidade administrativa.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Caso o valor da multa não seja suficiente para cobrir os prejuízos causados pela conduta do licitante, a União ou Entidade poderá cobrar o valor remanescente judicialmente, conforme artigo 419 do Código Civil.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 aplicação de qualquer das penalidades previstas realizar-se-á em processo administrativo que assegurará o contraditório e a ampla defesa ao licitante/adjudicatário, observando-se o procedimento previsto na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8.666, de 1993, e subsidiariamente na Lei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9.784, de 1999.</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autoridade competente, na aplicação das sanções, levará em consideração a gravidade da conduta do infrator, o caráter educativo da pena, bem como o dano causado à Administração, observado o princípio da proporcionalidade.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penalidades serão obrigatoriamente registradas no SICAF.</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sanções por atos praticados no decorrer da contratação estão previstas no Termo de Referência.</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 xml:space="preserve">DA FORMAÇÃO DO CADASTRO DE RESERVA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Após o encerramento da etapa competitiva, os licitantes poderão reduzir seus preços ao valor da proposta do licitante mais bem classificado.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apresentação de novas propostas na forma deste item não prejudicará o resultado do certame em relação ao licitante melhor classificado.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Havendo um ou mais licitantes que aceitem cotar suas propostas em valor igual ao do licitante vencedor, estes serão classificados segundo a ordem da última proposta individual apresentada durante a fase competitiva.</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Esta ordem de classificação dos licitantes registrados deverá ser respeitada nas contratações e somente será utilizada acaso o melhor colocado no certame não assine a ata ou tenha seu registro cancelado nas hipóteses previstas nos artigos 20 e 21 do Decreto </w:t>
      </w:r>
      <w:r>
        <w:rPr>
          <w:rFonts w:hint="default" w:ascii="Arial" w:hAnsi="Arial" w:cs="Arial"/>
          <w:b w:val="0"/>
          <w:bCs w:val="0"/>
          <w:color w:val="000000" w:themeColor="text1"/>
          <w:sz w:val="21"/>
          <w:szCs w:val="21"/>
          <w:lang w:val="pt-BR" w:eastAsia="en-US"/>
          <w14:textFill>
            <w14:solidFill>
              <w14:schemeClr w14:val="tx1"/>
            </w14:solidFill>
          </w14:textFill>
        </w:rPr>
        <w:t>n.°</w:t>
      </w:r>
      <w:r>
        <w:rPr>
          <w:rFonts w:hint="default" w:ascii="Arial" w:hAnsi="Arial" w:cs="Arial"/>
          <w:b w:val="0"/>
          <w:bCs w:val="0"/>
          <w:color w:val="000000" w:themeColor="text1"/>
          <w:sz w:val="21"/>
          <w:szCs w:val="21"/>
          <w:lang w:eastAsia="en-US"/>
          <w14:textFill>
            <w14:solidFill>
              <w14:schemeClr w14:val="tx1"/>
            </w14:solidFill>
          </w14:textFill>
        </w:rPr>
        <w:t xml:space="preserve"> 7.892/213.</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 IMPUGNAÇÃO AO EDITAL E DO PEDIDO DE ESCLARECIMENTO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Até </w:t>
      </w:r>
      <w:r>
        <w:rPr>
          <w:rFonts w:hint="default" w:ascii="Arial" w:hAnsi="Arial" w:cs="Arial"/>
          <w:b/>
          <w:bCs/>
          <w:i/>
          <w:iCs/>
          <w:color w:val="000000" w:themeColor="text1"/>
          <w:sz w:val="21"/>
          <w:szCs w:val="21"/>
          <w:lang w:eastAsia="en-US"/>
          <w14:textFill>
            <w14:solidFill>
              <w14:schemeClr w14:val="tx1"/>
            </w14:solidFill>
          </w14:textFill>
        </w:rPr>
        <w:t xml:space="preserve">3 (três) dias úteis </w:t>
      </w:r>
      <w:r>
        <w:rPr>
          <w:rFonts w:hint="default" w:ascii="Arial" w:hAnsi="Arial" w:cs="Arial"/>
          <w:b w:val="0"/>
          <w:bCs w:val="0"/>
          <w:color w:val="000000" w:themeColor="text1"/>
          <w:sz w:val="21"/>
          <w:szCs w:val="21"/>
          <w:lang w:eastAsia="en-US"/>
          <w14:textFill>
            <w14:solidFill>
              <w14:schemeClr w14:val="tx1"/>
            </w14:solidFill>
          </w14:textFill>
        </w:rPr>
        <w:t>antes da data designada para a abertura da sessão pública, qualquer pessoa poderá impugnar este Edital.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 impugnação poderá ser realizada por forma eletrônica, pelo e-mail </w:t>
      </w:r>
      <w:r>
        <w:rPr>
          <w:rFonts w:hint="default" w:ascii="Arial" w:hAnsi="Arial"/>
          <w:b w:val="0"/>
          <w:bCs w:val="0"/>
          <w:color w:val="000000" w:themeColor="text1"/>
          <w:sz w:val="21"/>
          <w:szCs w:val="21"/>
          <w:lang w:eastAsia="en-US"/>
          <w14:textFill>
            <w14:solidFill>
              <w14:schemeClr w14:val="tx1"/>
            </w14:solidFill>
          </w14:textFill>
        </w:rPr>
        <w:fldChar w:fldCharType="begin"/>
      </w:r>
      <w:r>
        <w:rPr>
          <w:rFonts w:hint="default" w:ascii="Arial" w:hAnsi="Arial"/>
          <w:b w:val="0"/>
          <w:bCs w:val="0"/>
          <w:color w:val="000000" w:themeColor="text1"/>
          <w:sz w:val="21"/>
          <w:szCs w:val="21"/>
          <w:lang w:eastAsia="en-US"/>
          <w14:textFill>
            <w14:solidFill>
              <w14:schemeClr w14:val="tx1"/>
            </w14:solidFill>
          </w14:textFill>
        </w:rPr>
        <w:instrText xml:space="preserve"> HYPERLINK "mailto:licitacao.jpa@ifpb.edu.br" </w:instrText>
      </w:r>
      <w:r>
        <w:rPr>
          <w:rFonts w:hint="default" w:ascii="Arial" w:hAnsi="Arial"/>
          <w:b w:val="0"/>
          <w:bCs w:val="0"/>
          <w:color w:val="000000" w:themeColor="text1"/>
          <w:sz w:val="21"/>
          <w:szCs w:val="21"/>
          <w:lang w:eastAsia="en-US"/>
          <w14:textFill>
            <w14:solidFill>
              <w14:schemeClr w14:val="tx1"/>
            </w14:solidFill>
          </w14:textFill>
        </w:rPr>
        <w:fldChar w:fldCharType="separate"/>
      </w:r>
      <w:r>
        <w:rPr>
          <w:rStyle w:val="18"/>
          <w:rFonts w:hint="default" w:ascii="Arial" w:hAnsi="Arial"/>
          <w:b w:val="0"/>
          <w:bCs w:val="0"/>
          <w:color w:val="0000FF"/>
          <w:sz w:val="21"/>
          <w:szCs w:val="21"/>
          <w:u w:val="none"/>
          <w:lang w:eastAsia="en-US"/>
        </w:rPr>
        <w:t>licitacao.jpa@ifpb.edu.b</w:t>
      </w:r>
      <w:r>
        <w:rPr>
          <w:rStyle w:val="18"/>
          <w:rFonts w:hint="default" w:ascii="Arial" w:hAnsi="Arial"/>
          <w:b w:val="0"/>
          <w:bCs w:val="0"/>
          <w:color w:val="0000FF"/>
          <w:sz w:val="21"/>
          <w:szCs w:val="21"/>
          <w:lang w:eastAsia="en-US"/>
        </w:rPr>
        <w:t>r</w:t>
      </w:r>
      <w:r>
        <w:rPr>
          <w:rFonts w:hint="default" w:ascii="Arial" w:hAnsi="Arial"/>
          <w:b w:val="0"/>
          <w:bCs w:val="0"/>
          <w:color w:val="000000" w:themeColor="text1"/>
          <w:sz w:val="21"/>
          <w:szCs w:val="21"/>
          <w:lang w:eastAsia="en-US"/>
          <w14:textFill>
            <w14:solidFill>
              <w14:schemeClr w14:val="tx1"/>
            </w14:solidFill>
          </w14:textFill>
        </w:rPr>
        <w:fldChar w:fldCharType="end"/>
      </w:r>
      <w:r>
        <w:rPr>
          <w:rFonts w:hint="default" w:ascii="Arial" w:hAnsi="Arial" w:cs="Arial"/>
          <w:b w:val="0"/>
          <w:bCs w:val="0"/>
          <w:color w:val="000000" w:themeColor="text1"/>
          <w:sz w:val="21"/>
          <w:szCs w:val="21"/>
          <w:lang w:eastAsia="en-US"/>
          <w14:textFill>
            <w14:solidFill>
              <w14:schemeClr w14:val="tx1"/>
            </w14:solidFill>
          </w14:textFill>
        </w:rPr>
        <w:t xml:space="preserve">, ou por petição dirigida ou protocolada no endereço: </w:t>
      </w:r>
      <w:r>
        <w:rPr>
          <w:rFonts w:hint="default" w:ascii="Arial" w:hAnsi="Arial"/>
          <w:b w:val="0"/>
          <w:bCs w:val="0"/>
          <w:color w:val="000000" w:themeColor="text1"/>
          <w:sz w:val="21"/>
          <w:szCs w:val="21"/>
          <w:lang w:eastAsia="en-US"/>
          <w14:textFill>
            <w14:solidFill>
              <w14:schemeClr w14:val="tx1"/>
            </w14:solidFill>
          </w14:textFill>
        </w:rPr>
        <w:t>Av. Primeiro de Maio, 720 - Jaguaribe - João Pessoa-PB - CEP: 58.015-435</w:t>
      </w:r>
      <w:r>
        <w:rPr>
          <w:rFonts w:hint="default" w:ascii="Arial" w:hAnsi="Arial" w:cs="Arial"/>
          <w:b w:val="0"/>
          <w:bCs w:val="0"/>
          <w:color w:val="000000" w:themeColor="text1"/>
          <w:sz w:val="21"/>
          <w:szCs w:val="21"/>
          <w:lang w:eastAsia="en-US"/>
          <w14:textFill>
            <w14:solidFill>
              <w14:schemeClr w14:val="tx1"/>
            </w14:solidFill>
          </w14:textFill>
        </w:rPr>
        <w:t>, D</w:t>
      </w:r>
      <w:r>
        <w:rPr>
          <w:rFonts w:hint="default" w:ascii="Arial" w:hAnsi="Arial" w:cs="Arial"/>
          <w:b w:val="0"/>
          <w:bCs w:val="0"/>
          <w:color w:val="000000" w:themeColor="text1"/>
          <w:sz w:val="21"/>
          <w:szCs w:val="21"/>
          <w:lang w:val="pt-BR" w:eastAsia="en-US"/>
          <w14:textFill>
            <w14:solidFill>
              <w14:schemeClr w14:val="tx1"/>
            </w14:solidFill>
          </w14:textFill>
        </w:rPr>
        <w:t>epartamento de Logística</w:t>
      </w:r>
      <w:r>
        <w:rPr>
          <w:rFonts w:hint="default" w:ascii="Arial" w:hAnsi="Arial" w:cs="Arial"/>
          <w:b w:val="0"/>
          <w:bCs w:val="0"/>
          <w:color w:val="000000" w:themeColor="text1"/>
          <w:sz w:val="21"/>
          <w:szCs w:val="21"/>
          <w:lang w:eastAsia="en-US"/>
          <w14:textFill>
            <w14:solidFill>
              <w14:schemeClr w14:val="tx1"/>
            </w14:solidFill>
          </w14:textFill>
        </w:rPr>
        <w:t>.</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Caberá ao Pregoeiro, auxiliado pelos responsáveis pela elaboração deste Edital e seus anexos, decidir sobre a impugnação no prazo de até </w:t>
      </w:r>
      <w:r>
        <w:rPr>
          <w:rFonts w:hint="default" w:ascii="Arial" w:hAnsi="Arial" w:cs="Arial"/>
          <w:b/>
          <w:bCs/>
          <w:i/>
          <w:iCs/>
          <w:color w:val="000000" w:themeColor="text1"/>
          <w:sz w:val="21"/>
          <w:szCs w:val="21"/>
          <w:lang w:eastAsia="en-US"/>
          <w14:textFill>
            <w14:solidFill>
              <w14:schemeClr w14:val="tx1"/>
            </w14:solidFill>
          </w14:textFill>
        </w:rPr>
        <w:t xml:space="preserve">2 (dois) dias úteis </w:t>
      </w:r>
      <w:r>
        <w:rPr>
          <w:rFonts w:hint="default" w:ascii="Arial" w:hAnsi="Arial" w:cs="Arial"/>
          <w:b w:val="0"/>
          <w:bCs w:val="0"/>
          <w:color w:val="000000" w:themeColor="text1"/>
          <w:sz w:val="21"/>
          <w:szCs w:val="21"/>
          <w:lang w:eastAsia="en-US"/>
          <w14:textFill>
            <w14:solidFill>
              <w14:schemeClr w14:val="tx1"/>
            </w14:solidFill>
          </w14:textFill>
        </w:rPr>
        <w:t>contados da data de recebimento da impugnação.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Acolhida a impugnação, será definida e publicada nova data para a realização do certame.</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Os pedidos de esclarecimentos referentes a este processo licitatório deverão ser enviados ao Pregoeiro, até </w:t>
      </w:r>
      <w:r>
        <w:rPr>
          <w:rFonts w:hint="default" w:ascii="Arial" w:hAnsi="Arial" w:cs="Arial"/>
          <w:b/>
          <w:bCs/>
          <w:i/>
          <w:iCs/>
          <w:color w:val="000000" w:themeColor="text1"/>
          <w:sz w:val="21"/>
          <w:szCs w:val="21"/>
          <w:lang w:eastAsia="en-US"/>
          <w14:textFill>
            <w14:solidFill>
              <w14:schemeClr w14:val="tx1"/>
            </w14:solidFill>
          </w14:textFill>
        </w:rPr>
        <w:t>3 (três) dias úteis</w:t>
      </w:r>
      <w:r>
        <w:rPr>
          <w:rFonts w:hint="default" w:ascii="Arial" w:hAnsi="Arial" w:cs="Arial"/>
          <w:b w:val="0"/>
          <w:bCs w:val="0"/>
          <w:color w:val="000000" w:themeColor="text1"/>
          <w:sz w:val="21"/>
          <w:szCs w:val="21"/>
          <w:lang w:eastAsia="en-US"/>
          <w14:textFill>
            <w14:solidFill>
              <w14:schemeClr w14:val="tx1"/>
            </w14:solidFill>
          </w14:textFill>
        </w:rPr>
        <w:t xml:space="preserve"> anteriores à data designada para abertura da sessão pública, exclusivamente por meio eletrônico via internet, no endereço indicado no Edital.</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O Pregoeiro responderá aos pedidos de esclarecimentos no prazo de </w:t>
      </w:r>
      <w:r>
        <w:rPr>
          <w:rFonts w:hint="default" w:ascii="Arial" w:hAnsi="Arial" w:cs="Arial"/>
          <w:b/>
          <w:bCs/>
          <w:i/>
          <w:iCs/>
          <w:color w:val="000000" w:themeColor="text1"/>
          <w:sz w:val="21"/>
          <w:szCs w:val="21"/>
          <w:lang w:eastAsia="en-US"/>
          <w14:textFill>
            <w14:solidFill>
              <w14:schemeClr w14:val="tx1"/>
            </w14:solidFill>
          </w14:textFill>
        </w:rPr>
        <w:t>2 (dois) dias úteis</w:t>
      </w:r>
      <w:r>
        <w:rPr>
          <w:rFonts w:hint="default" w:ascii="Arial" w:hAnsi="Arial" w:cs="Arial"/>
          <w:b w:val="0"/>
          <w:bCs w:val="0"/>
          <w:color w:val="000000" w:themeColor="text1"/>
          <w:sz w:val="21"/>
          <w:szCs w:val="21"/>
          <w:lang w:eastAsia="en-US"/>
          <w14:textFill>
            <w14:solidFill>
              <w14:schemeClr w14:val="tx1"/>
            </w14:solidFill>
          </w14:textFill>
        </w:rPr>
        <w:t>, contado da data de recebimento do pedido, e poderá requisitar subsídios formais aos responsáveis pela elaboração do Edital e dos anexos.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impugnações e pedidos de esclarecimentos não suspendem os prazos previstos no certame.</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concessão de efeito suspensivo à impugnação é medida excepcional e deverá ser motivada pelo pregoeiro, nos autos do processo de licitação.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As respostas aos pedidos de esclarecimentos serão divulgadas pelo sistema e vincularão os participantes e a Administração.</w:t>
      </w:r>
    </w:p>
    <w:p>
      <w:pPr>
        <w:pStyle w:val="39"/>
        <w:ind w:left="0" w:leftChars="0" w:firstLine="0" w:firstLineChars="0"/>
        <w:rPr>
          <w:rFonts w:hint="default" w:ascii="Arial" w:hAnsi="Arial" w:cs="Arial"/>
          <w:sz w:val="21"/>
          <w:szCs w:val="21"/>
          <w:lang w:eastAsia="en-US"/>
        </w:rPr>
      </w:pPr>
      <w:r>
        <w:rPr>
          <w:rFonts w:hint="default" w:ascii="Arial" w:hAnsi="Arial" w:cs="Arial"/>
          <w:sz w:val="21"/>
          <w:szCs w:val="21"/>
          <w:lang w:eastAsia="en-US"/>
        </w:rPr>
        <w:t>DAS DISPOSIÇÕES GERAIS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Da sessão pública do Pregão divulgar-se-á Ata no sistema eletrônico.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Todas as referências de tempo no Edital, no aviso e durante a sessão pública observarão o horário de Brasília – DF.</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A homologação do resultado desta licitação não implicará direito à contratação.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Os licitantes assumem todos os custos de preparação e apresentação de suas propostas e a Administração não será, em nenhum caso, responsável por esses custos, independentemente da condução ou do resultado do processo licitatório.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Na contagem dos prazos estabelecidos neste Edital e seus Anexos, excluir-se-á o dia do início e incluir-se-á o do vencimento. Só se iniciam e vencem os prazos em dias de expediente na Administração.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O desatendimento de exigências formais não essenciais não importará o afastamento do licitante, desde que seja possível o aproveitamento do ato, observados os princípios da isonomia e do interesse público.</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color w:val="000000"/>
          <w:sz w:val="21"/>
          <w:szCs w:val="21"/>
        </w:rPr>
      </w:pPr>
      <w:r>
        <w:rPr>
          <w:rFonts w:hint="default" w:ascii="Arial" w:hAnsi="Arial" w:cs="Arial"/>
          <w:b w:val="0"/>
          <w:bCs w:val="0"/>
          <w:color w:val="000000" w:themeColor="text1"/>
          <w:sz w:val="21"/>
          <w:szCs w:val="21"/>
          <w:lang w:eastAsia="en-US"/>
          <w14:textFill>
            <w14:solidFill>
              <w14:schemeClr w14:val="tx1"/>
            </w14:solidFill>
          </w14:textFill>
        </w:rPr>
        <w:t>Em caso de divergência entre disposições deste Edital e de seus anexos ou demais peças que compõem o processo, prevalecerá as deste Edital.</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000000"/>
          <w:sz w:val="21"/>
          <w:szCs w:val="21"/>
        </w:rPr>
      </w:pPr>
      <w:r>
        <w:rPr>
          <w:rFonts w:hint="default" w:ascii="Arial" w:hAnsi="Arial" w:cs="Arial"/>
          <w:color w:val="000000"/>
          <w:sz w:val="21"/>
          <w:szCs w:val="21"/>
        </w:rPr>
        <w:t xml:space="preserve">O Edital está disponibilizado, na íntegra, no endereço eletrônico no endereço eletrônico </w:t>
      </w:r>
      <w:r>
        <w:rPr>
          <w:rFonts w:hint="default" w:ascii="Arial" w:hAnsi="Arial" w:cs="Arial"/>
          <w:color w:val="0000FF"/>
          <w:sz w:val="21"/>
          <w:szCs w:val="21"/>
        </w:rPr>
        <w:fldChar w:fldCharType="begin"/>
      </w:r>
      <w:r>
        <w:rPr>
          <w:rFonts w:hint="default" w:ascii="Arial" w:hAnsi="Arial" w:cs="Arial"/>
          <w:color w:val="0000FF"/>
          <w:sz w:val="21"/>
          <w:szCs w:val="21"/>
        </w:rPr>
        <w:instrText xml:space="preserve"> HYPERLINK "https://www.comprasgovernamentais.gov.br/" </w:instrText>
      </w:r>
      <w:r>
        <w:rPr>
          <w:rFonts w:hint="default" w:ascii="Arial" w:hAnsi="Arial" w:cs="Arial"/>
          <w:color w:val="0000FF"/>
          <w:sz w:val="21"/>
          <w:szCs w:val="21"/>
        </w:rPr>
        <w:fldChar w:fldCharType="separate"/>
      </w:r>
      <w:r>
        <w:rPr>
          <w:rStyle w:val="18"/>
          <w:rFonts w:hint="default" w:ascii="Arial" w:hAnsi="Arial" w:cs="Arial"/>
          <w:color w:val="0000FF"/>
          <w:sz w:val="21"/>
          <w:szCs w:val="21"/>
        </w:rPr>
        <w:t>https://www.comprasgovernamentais.gov.br/</w:t>
      </w:r>
      <w:r>
        <w:rPr>
          <w:rStyle w:val="18"/>
          <w:rFonts w:hint="default" w:ascii="Arial" w:hAnsi="Arial" w:cs="Arial"/>
          <w:color w:val="0000FF"/>
          <w:sz w:val="21"/>
          <w:szCs w:val="21"/>
        </w:rPr>
        <w:fldChar w:fldCharType="end"/>
      </w:r>
      <w:r>
        <w:rPr>
          <w:rStyle w:val="18"/>
          <w:rFonts w:hint="default" w:cs="Arial"/>
          <w:color w:val="0000FF"/>
          <w:sz w:val="21"/>
          <w:szCs w:val="21"/>
          <w:lang w:val="pt-BR"/>
        </w:rPr>
        <w:t>,</w:t>
      </w:r>
      <w:r>
        <w:rPr>
          <w:rFonts w:hint="default" w:ascii="Arial" w:hAnsi="Arial" w:cs="Arial"/>
          <w:color w:val="FF0000"/>
          <w:sz w:val="21"/>
          <w:szCs w:val="21"/>
        </w:rPr>
        <w:t xml:space="preserve">  </w:t>
      </w:r>
      <w:r>
        <w:rPr>
          <w:rFonts w:hint="default" w:ascii="Arial" w:hAnsi="Arial" w:cs="Arial"/>
          <w:color w:val="000000"/>
          <w:sz w:val="21"/>
          <w:szCs w:val="21"/>
        </w:rPr>
        <w:t xml:space="preserve">e também poderão ser lidos e/ou obtidos no endereço </w:t>
      </w:r>
      <w:r>
        <w:rPr>
          <w:rFonts w:hint="default" w:ascii="Arial" w:hAnsi="Arial"/>
          <w:b w:val="0"/>
          <w:bCs w:val="0"/>
          <w:color w:val="000000" w:themeColor="text1"/>
          <w:sz w:val="21"/>
          <w:szCs w:val="21"/>
          <w:lang w:eastAsia="en-US"/>
          <w14:textFill>
            <w14:solidFill>
              <w14:schemeClr w14:val="tx1"/>
            </w14:solidFill>
          </w14:textFill>
        </w:rPr>
        <w:t>Av. Primeiro de Maio, 720 - Jaguaribe - João Pessoa-PB - CEP: 58.015-435</w:t>
      </w:r>
      <w:r>
        <w:rPr>
          <w:rFonts w:hint="default" w:ascii="Arial" w:hAnsi="Arial" w:cs="Arial"/>
          <w:b w:val="0"/>
          <w:bCs w:val="0"/>
          <w:color w:val="000000" w:themeColor="text1"/>
          <w:sz w:val="21"/>
          <w:szCs w:val="21"/>
          <w:lang w:eastAsia="en-US"/>
          <w14:textFill>
            <w14:solidFill>
              <w14:schemeClr w14:val="tx1"/>
            </w14:solidFill>
          </w14:textFill>
        </w:rPr>
        <w:t>, D</w:t>
      </w:r>
      <w:r>
        <w:rPr>
          <w:rFonts w:hint="default" w:ascii="Arial" w:hAnsi="Arial" w:cs="Arial"/>
          <w:b w:val="0"/>
          <w:bCs w:val="0"/>
          <w:color w:val="000000" w:themeColor="text1"/>
          <w:sz w:val="21"/>
          <w:szCs w:val="21"/>
          <w:lang w:val="pt-BR" w:eastAsia="en-US"/>
          <w14:textFill>
            <w14:solidFill>
              <w14:schemeClr w14:val="tx1"/>
            </w14:solidFill>
          </w14:textFill>
        </w:rPr>
        <w:t>epartamento de Logística</w:t>
      </w:r>
      <w:r>
        <w:rPr>
          <w:rFonts w:hint="default" w:ascii="Arial" w:hAnsi="Arial" w:cs="Arial"/>
          <w:color w:val="auto"/>
          <w:sz w:val="21"/>
          <w:szCs w:val="21"/>
        </w:rPr>
        <w:t xml:space="preserve">, </w:t>
      </w:r>
      <w:r>
        <w:rPr>
          <w:rFonts w:hint="default" w:ascii="Arial" w:hAnsi="Arial" w:cs="Arial"/>
          <w:color w:val="000000"/>
          <w:sz w:val="21"/>
          <w:szCs w:val="21"/>
        </w:rPr>
        <w:t xml:space="preserve">nos dias úteis, no horário das </w:t>
      </w:r>
      <w:r>
        <w:rPr>
          <w:rFonts w:hint="default" w:ascii="Arial" w:hAnsi="Arial" w:cs="Arial"/>
          <w:b/>
          <w:i/>
          <w:sz w:val="21"/>
          <w:szCs w:val="21"/>
        </w:rPr>
        <w:t>08h00 às 18h00 horas</w:t>
      </w:r>
      <w:r>
        <w:rPr>
          <w:rFonts w:hint="default" w:ascii="Arial" w:hAnsi="Arial" w:cs="Arial"/>
          <w:color w:val="000000"/>
          <w:sz w:val="21"/>
          <w:szCs w:val="21"/>
        </w:rPr>
        <w:t>, mesmo endereço e período no qual os autos do processo administrativo permanecerão com vista franqueada aos interessados.</w:t>
      </w:r>
    </w:p>
    <w:p>
      <w:pPr>
        <w:pStyle w:val="43"/>
        <w:keepNext w:val="0"/>
        <w:widowControl/>
        <w:numPr>
          <w:ilvl w:val="1"/>
          <w:numId w:val="2"/>
        </w:numPr>
        <w:shd w:val="clear" w:color="auto" w:fill="auto"/>
        <w:spacing w:before="120" w:after="120"/>
        <w:ind w:left="0" w:leftChars="0" w:firstLine="0" w:firstLineChars="0"/>
        <w:rPr>
          <w:rFonts w:hint="default" w:ascii="Arial" w:hAnsi="Arial" w:cs="Arial"/>
          <w:b w:val="0"/>
          <w:bCs w:val="0"/>
          <w:color w:val="000000" w:themeColor="text1"/>
          <w:sz w:val="21"/>
          <w:szCs w:val="21"/>
          <w:lang w:eastAsia="en-US"/>
          <w14:textFill>
            <w14:solidFill>
              <w14:schemeClr w14:val="tx1"/>
            </w14:solidFill>
          </w14:textFill>
        </w:rPr>
      </w:pPr>
      <w:r>
        <w:rPr>
          <w:rFonts w:hint="default" w:ascii="Arial" w:hAnsi="Arial" w:cs="Arial"/>
          <w:b w:val="0"/>
          <w:bCs w:val="0"/>
          <w:color w:val="000000" w:themeColor="text1"/>
          <w:sz w:val="21"/>
          <w:szCs w:val="21"/>
          <w:lang w:eastAsia="en-US"/>
          <w14:textFill>
            <w14:solidFill>
              <w14:schemeClr w14:val="tx1"/>
            </w14:solidFill>
          </w14:textFill>
        </w:rPr>
        <w:t>Integram este Edital, para todos os fins e efeitos, os seguintes anexos: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b w:val="0"/>
          <w:bCs w:val="0"/>
          <w:color w:val="auto"/>
          <w:sz w:val="21"/>
          <w:szCs w:val="21"/>
          <w:lang w:eastAsia="en-US"/>
        </w:rPr>
        <w:t>ANEXO I - Termo de Referência;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rPr>
        <w:t>ANEXO II – Minuta de Ata de Registro de Preços</w:t>
      </w:r>
      <w:r>
        <w:rPr>
          <w:rFonts w:hint="default" w:ascii="Arial" w:hAnsi="Arial" w:cs="Arial"/>
          <w:color w:val="auto"/>
          <w:sz w:val="21"/>
          <w:szCs w:val="21"/>
          <w:lang w:val="pt-BR"/>
        </w:rPr>
        <w:t>;</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rPr>
        <w:t>ANEXO III – Minuta de Termo de Contrato;</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rPr>
        <w:t xml:space="preserve">ANEXO IV – </w:t>
      </w:r>
      <w:r>
        <w:rPr>
          <w:rFonts w:hint="default" w:ascii="Arial" w:hAnsi="Arial" w:cs="Arial"/>
          <w:color w:val="auto"/>
          <w:sz w:val="21"/>
          <w:szCs w:val="21"/>
          <w:lang w:val="pt-BR"/>
        </w:rPr>
        <w:t>Lista de Equipamentos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ANEXO V - Declaração de Vistoria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ANEXO VI - Declaração de Dispensa de Vistoria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ANEXO VII - Instrumento de Medição de Resultados (IMR)</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ANEXO VIII - Pesquisa de Satisfação dos Usuários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ANEXO IX - Avaliação Técnica</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APÊNDICE A - Estudos Preliminares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APÊNDICE B - Plantas Baixas</w:t>
      </w:r>
    </w:p>
    <w:p>
      <w:pPr>
        <w:pStyle w:val="43"/>
        <w:keepNext w:val="0"/>
        <w:widowControl/>
        <w:numPr>
          <w:ilvl w:val="2"/>
          <w:numId w:val="2"/>
        </w:numPr>
        <w:shd w:val="clear" w:color="auto" w:fill="auto"/>
        <w:spacing w:before="120" w:after="120"/>
        <w:ind w:left="420" w:leftChars="0" w:firstLine="0" w:firstLineChars="0"/>
        <w:rPr>
          <w:rFonts w:hint="default" w:ascii="Arial" w:hAnsi="Arial" w:cs="Arial"/>
          <w:color w:val="auto"/>
          <w:sz w:val="21"/>
          <w:szCs w:val="21"/>
        </w:rPr>
      </w:pPr>
      <w:r>
        <w:rPr>
          <w:rFonts w:hint="default" w:ascii="Arial" w:hAnsi="Arial" w:cs="Arial"/>
          <w:color w:val="auto"/>
          <w:sz w:val="21"/>
          <w:szCs w:val="21"/>
          <w:lang w:val="pt-BR"/>
        </w:rPr>
        <w:t>APÊNDICE C - Lista de Espaços Destinados à Cessão</w:t>
      </w:r>
    </w:p>
    <w:p>
      <w:pPr>
        <w:spacing w:before="120" w:after="120" w:line="276" w:lineRule="auto"/>
        <w:jc w:val="right"/>
        <w:rPr>
          <w:rFonts w:hint="default" w:ascii="Arial" w:hAnsi="Arial" w:cs="Arial"/>
          <w:color w:val="000000"/>
          <w:sz w:val="21"/>
          <w:szCs w:val="21"/>
        </w:rPr>
      </w:pPr>
    </w:p>
    <w:p>
      <w:pPr>
        <w:spacing w:before="120" w:after="120" w:line="276" w:lineRule="auto"/>
        <w:jc w:val="right"/>
        <w:rPr>
          <w:rFonts w:hint="default" w:ascii="Arial" w:hAnsi="Arial" w:cs="Arial"/>
          <w:color w:val="000000"/>
          <w:sz w:val="21"/>
          <w:szCs w:val="21"/>
        </w:rPr>
      </w:pPr>
    </w:p>
    <w:p>
      <w:pPr>
        <w:spacing w:before="120" w:after="120" w:line="276" w:lineRule="auto"/>
        <w:jc w:val="right"/>
        <w:rPr>
          <w:rFonts w:hint="default" w:ascii="Arial" w:hAnsi="Arial" w:cs="Arial"/>
          <w:color w:val="000000"/>
          <w:sz w:val="21"/>
          <w:szCs w:val="21"/>
        </w:rPr>
      </w:pPr>
      <w:r>
        <w:rPr>
          <w:rFonts w:hint="default" w:cs="Arial"/>
          <w:color w:val="000000"/>
          <w:sz w:val="21"/>
          <w:szCs w:val="21"/>
          <w:lang w:val="pt-BR"/>
        </w:rPr>
        <w:t>João Pessoa - PB</w:t>
      </w:r>
      <w:r>
        <w:rPr>
          <w:rFonts w:hint="default" w:ascii="Arial" w:hAnsi="Arial" w:cs="Arial"/>
          <w:color w:val="000000"/>
          <w:sz w:val="21"/>
          <w:szCs w:val="21"/>
        </w:rPr>
        <w:t>,</w:t>
      </w:r>
      <w:r>
        <w:rPr>
          <w:rFonts w:hint="default" w:cs="Arial"/>
          <w:color w:val="000000"/>
          <w:sz w:val="21"/>
          <w:szCs w:val="21"/>
          <w:lang w:val="pt-BR"/>
        </w:rPr>
        <w:t xml:space="preserve"> 19</w:t>
      </w:r>
      <w:r>
        <w:rPr>
          <w:rFonts w:hint="default" w:ascii="Arial" w:hAnsi="Arial" w:cs="Arial"/>
          <w:color w:val="000000"/>
          <w:sz w:val="21"/>
          <w:szCs w:val="21"/>
        </w:rPr>
        <w:t xml:space="preserve"> de </w:t>
      </w:r>
      <w:r>
        <w:rPr>
          <w:rFonts w:hint="default" w:cs="Arial"/>
          <w:color w:val="000000"/>
          <w:sz w:val="21"/>
          <w:szCs w:val="21"/>
          <w:lang w:val="pt-BR"/>
        </w:rPr>
        <w:t>junho</w:t>
      </w:r>
      <w:r>
        <w:rPr>
          <w:rFonts w:hint="default" w:ascii="Arial" w:hAnsi="Arial" w:cs="Arial"/>
          <w:color w:val="000000"/>
          <w:sz w:val="21"/>
          <w:szCs w:val="21"/>
        </w:rPr>
        <w:t xml:space="preserve"> de 20</w:t>
      </w:r>
      <w:r>
        <w:rPr>
          <w:rFonts w:hint="default" w:cs="Arial"/>
          <w:color w:val="000000"/>
          <w:sz w:val="21"/>
          <w:szCs w:val="21"/>
          <w:lang w:val="pt-BR"/>
        </w:rPr>
        <w:t>20</w:t>
      </w:r>
      <w:r>
        <w:rPr>
          <w:rFonts w:hint="default" w:ascii="Arial" w:hAnsi="Arial" w:cs="Arial"/>
          <w:color w:val="000000"/>
          <w:sz w:val="21"/>
          <w:szCs w:val="21"/>
        </w:rPr>
        <w:t>.</w:t>
      </w:r>
    </w:p>
    <w:p>
      <w:pPr>
        <w:spacing w:before="120" w:after="120" w:line="276" w:lineRule="auto"/>
        <w:jc w:val="right"/>
        <w:rPr>
          <w:rFonts w:hint="default" w:ascii="Arial" w:hAnsi="Arial" w:cs="Arial"/>
          <w:color w:val="000000"/>
          <w:sz w:val="21"/>
          <w:szCs w:val="21"/>
        </w:rPr>
      </w:pPr>
    </w:p>
    <w:p>
      <w:pPr>
        <w:spacing w:before="120" w:after="120" w:line="276" w:lineRule="auto"/>
        <w:jc w:val="right"/>
        <w:rPr>
          <w:rFonts w:hint="default" w:ascii="Arial" w:hAnsi="Arial" w:cs="Arial"/>
          <w:color w:val="000000"/>
          <w:sz w:val="21"/>
          <w:szCs w:val="21"/>
        </w:rPr>
      </w:pPr>
    </w:p>
    <w:p>
      <w:pPr>
        <w:spacing w:before="120" w:after="120" w:line="276" w:lineRule="auto"/>
        <w:jc w:val="right"/>
        <w:rPr>
          <w:rFonts w:hint="default" w:ascii="Arial" w:hAnsi="Arial" w:cs="Arial"/>
          <w:color w:val="000000"/>
          <w:sz w:val="21"/>
          <w:szCs w:val="21"/>
        </w:rPr>
      </w:pP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Arial" w:hAnsi="Arial" w:cs="Arial"/>
          <w:color w:val="000000"/>
          <w:sz w:val="21"/>
          <w:szCs w:val="21"/>
        </w:rPr>
      </w:pPr>
      <w:r>
        <w:rPr>
          <w:rFonts w:hint="default" w:ascii="Arial" w:hAnsi="Arial"/>
          <w:b/>
          <w:color w:val="000000"/>
          <w:sz w:val="21"/>
          <w:szCs w:val="21"/>
        </w:rPr>
        <w:t>NEILOR CESAR DOS SANTOS</w:t>
      </w: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cs="Arial"/>
          <w:color w:val="000000"/>
          <w:sz w:val="21"/>
          <w:szCs w:val="21"/>
          <w:lang w:val="pt-BR"/>
        </w:rPr>
      </w:pPr>
      <w:r>
        <w:rPr>
          <w:rFonts w:hint="default" w:cs="Arial"/>
          <w:color w:val="000000"/>
          <w:sz w:val="21"/>
          <w:szCs w:val="21"/>
          <w:lang w:val="pt-BR"/>
        </w:rPr>
        <w:t>Diretor Geral</w:t>
      </w: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cs="Arial"/>
          <w:color w:val="000000"/>
          <w:sz w:val="21"/>
          <w:szCs w:val="21"/>
          <w:lang w:val="pt-BR"/>
        </w:rPr>
      </w:pPr>
      <w:r>
        <w:rPr>
          <w:rFonts w:hint="default" w:cs="Arial"/>
          <w:color w:val="000000"/>
          <w:sz w:val="21"/>
          <w:szCs w:val="21"/>
          <w:lang w:val="pt-BR"/>
        </w:rPr>
        <w:t>Campus João Pessoa</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603F01FF" w:csb1="FFFF0000"/>
  </w:font>
  <w:font w:name="Mangal">
    <w:altName w:val="Segoe Print"/>
    <w:panose1 w:val="02040503050203030202"/>
    <w:charset w:val="00"/>
    <w:family w:val="auto"/>
    <w:pitch w:val="default"/>
    <w:sig w:usb0="00000000" w:usb1="00000000" w:usb2="00000000" w:usb3="00000000" w:csb0="00000001" w:csb1="00000000"/>
  </w:font>
  <w:font w:name="Carlito">
    <w:panose1 w:val="020F0502020204030204"/>
    <w:charset w:val="00"/>
    <w:family w:val="swiss"/>
    <w:pitch w:val="default"/>
    <w:sig w:usb0="E10002FF" w:usb1="5000ECFF" w:usb2="00000009"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rPr>
        <w:rFonts w:ascii="Times New Roman" w:hAnsi="Times New Roman" w:cs="Times New Roman"/>
      </w:rPr>
    </w:pPr>
    <w:r>
      <w:rPr>
        <w:rFonts w:ascii="Times New Roman" w:hAnsi="Times New Roman" w:cs="Times New Roman"/>
      </w:rPr>
      <w:t>___________________________________________________________________</w:t>
    </w:r>
  </w:p>
  <w:p>
    <w:pPr>
      <w:pStyle w:val="74"/>
      <w:jc w:val="both"/>
      <w:rPr>
        <w:rFonts w:hint="default" w:ascii="Carlito" w:hAnsi="Carlito"/>
        <w:b/>
        <w:color w:val="auto"/>
        <w:sz w:val="16"/>
        <w:szCs w:val="16"/>
        <w:shd w:val="clear" w:fill="FFFFFF"/>
        <w:lang w:val="pt-BR"/>
      </w:rPr>
    </w:pPr>
    <w:r>
      <w:rPr>
        <w:rFonts w:hint="default" w:ascii="Carlito" w:hAnsi="Carlito"/>
        <w:b/>
        <w:color w:val="auto"/>
        <w:sz w:val="16"/>
        <w:szCs w:val="16"/>
        <w:shd w:val="clear" w:fill="FFFFFF"/>
        <w:lang w:val="pt-BR"/>
      </w:rPr>
      <w:t>Departamento de Logística</w:t>
    </w:r>
  </w:p>
  <w:p>
    <w:pPr>
      <w:pStyle w:val="74"/>
      <w:jc w:val="both"/>
      <w:rPr>
        <w:rFonts w:hint="default" w:ascii="Carlito" w:hAnsi="Carlito"/>
        <w:color w:val="auto"/>
        <w:sz w:val="16"/>
        <w:szCs w:val="16"/>
        <w:shd w:val="clear" w:fill="FFFFFF"/>
      </w:rPr>
    </w:pPr>
    <w:r>
      <w:rPr>
        <w:rFonts w:hint="default" w:ascii="Carlito" w:hAnsi="Carlito"/>
        <w:color w:val="auto"/>
        <w:sz w:val="16"/>
        <w:szCs w:val="16"/>
        <w:shd w:val="clear" w:fill="FFFFFF"/>
      </w:rPr>
      <w:t>Av. Primeiro de Maio, 720 - Jaguaribe - João Pessoa-PB - CEP: 58.015-435</w:t>
    </w:r>
  </w:p>
  <w:p>
    <w:pPr>
      <w:pStyle w:val="74"/>
      <w:jc w:val="both"/>
      <w:rPr>
        <w:rFonts w:cs="Arial"/>
        <w:color w:val="auto"/>
        <w:sz w:val="12"/>
        <w:szCs w:val="12"/>
      </w:rPr>
    </w:pPr>
    <w:r>
      <w:rPr>
        <w:rFonts w:ascii="Carlito" w:hAnsi="Carlito" w:cs="Carlito"/>
        <w:color w:val="auto"/>
        <w:sz w:val="16"/>
        <w:szCs w:val="16"/>
        <w:shd w:val="clear" w:fill="FFFFFF"/>
      </w:rPr>
      <w:t xml:space="preserve">(83) </w:t>
    </w:r>
    <w:r>
      <w:rPr>
        <w:rFonts w:hint="default" w:ascii="Carlito" w:hAnsi="Carlito"/>
        <w:color w:val="auto"/>
        <w:sz w:val="16"/>
        <w:szCs w:val="16"/>
        <w:shd w:val="clear" w:fill="FFFFFF"/>
      </w:rPr>
      <w:t>3612-1398</w:t>
    </w:r>
    <w:r>
      <w:rPr>
        <w:rFonts w:ascii="Carlito" w:hAnsi="Carlito" w:cs="Carlito"/>
        <w:color w:val="auto"/>
        <w:sz w:val="16"/>
        <w:szCs w:val="16"/>
        <w:shd w:val="clear" w:fill="FFFFFF"/>
      </w:rPr>
      <w:t xml:space="preserve"> - </w:t>
    </w:r>
    <w:r>
      <w:rPr>
        <w:rFonts w:hint="default" w:ascii="Carlito" w:hAnsi="Carlito"/>
        <w:color w:val="auto"/>
        <w:sz w:val="16"/>
        <w:szCs w:val="16"/>
        <w:shd w:val="clear" w:fill="FFFFFF"/>
      </w:rPr>
      <w:t>licitacao.jpa@ifpb.edu.br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after="0"/>
      <w:jc w:val="center"/>
      <w:rPr>
        <w:rFonts w:ascii="Carlito" w:hAnsi="Carlito" w:cs="Times New Roman"/>
        <w:bCs/>
        <w:sz w:val="24"/>
        <w:szCs w:val="24"/>
      </w:rPr>
    </w:pPr>
    <w:r>
      <w:rPr>
        <w:rFonts w:ascii="Carlito" w:hAnsi="Carlito" w:cs="Times New Roman"/>
        <w:bCs/>
        <w:sz w:val="24"/>
        <w:szCs w:val="24"/>
        <w:lang w:eastAsia="pt-BR"/>
      </w:rPr>
      <w:drawing>
        <wp:anchor distT="0" distB="0" distL="0" distR="0" simplePos="0" relativeHeight="1024" behindDoc="1" locked="0" layoutInCell="1" allowOverlap="1">
          <wp:simplePos x="0" y="0"/>
          <wp:positionH relativeFrom="column">
            <wp:posOffset>2480945</wp:posOffset>
          </wp:positionH>
          <wp:positionV relativeFrom="paragraph">
            <wp:posOffset>58420</wp:posOffset>
          </wp:positionV>
          <wp:extent cx="868680" cy="857885"/>
          <wp:effectExtent l="0" t="0" r="7620" b="18415"/>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a:xfrm>
                    <a:off x="0" y="0"/>
                    <a:ext cx="868680" cy="857885"/>
                  </a:xfrm>
                  <a:prstGeom prst="rect">
                    <a:avLst/>
                  </a:prstGeom>
                </pic:spPr>
              </pic:pic>
            </a:graphicData>
          </a:graphic>
        </wp:anchor>
      </w:drawing>
    </w:r>
  </w:p>
  <w:p>
    <w:pPr>
      <w:spacing w:before="60" w:after="0"/>
      <w:jc w:val="center"/>
      <w:rPr>
        <w:rFonts w:ascii="Carlito" w:hAnsi="Carlito" w:cs="Times New Roman"/>
        <w:sz w:val="24"/>
        <w:szCs w:val="24"/>
      </w:rPr>
    </w:pPr>
  </w:p>
  <w:p>
    <w:pPr>
      <w:spacing w:before="60" w:after="0"/>
      <w:jc w:val="center"/>
      <w:rPr>
        <w:rFonts w:ascii="Carlito" w:hAnsi="Carlito" w:cs="Times New Roman"/>
        <w:sz w:val="24"/>
        <w:szCs w:val="24"/>
      </w:rPr>
    </w:pPr>
  </w:p>
  <w:p>
    <w:pPr>
      <w:spacing w:before="60" w:after="0"/>
      <w:jc w:val="center"/>
      <w:rPr>
        <w:rFonts w:ascii="Carlito" w:hAnsi="Carlito" w:cs="Times New Roman"/>
        <w:sz w:val="24"/>
        <w:szCs w:val="24"/>
      </w:rPr>
    </w:pPr>
  </w:p>
  <w:p>
    <w:pPr>
      <w:spacing w:before="60" w:after="0"/>
      <w:jc w:val="center"/>
    </w:pPr>
    <w:r>
      <w:rPr>
        <w:rFonts w:ascii="Carlito" w:hAnsi="Carlito" w:cs="Times New Roman"/>
        <w:sz w:val="24"/>
        <w:szCs w:val="24"/>
      </w:rPr>
      <w:t>MINISTÉRIO DA EDUCAÇÃO</w:t>
    </w:r>
  </w:p>
  <w:p>
    <w:pPr>
      <w:spacing w:after="0"/>
      <w:jc w:val="center"/>
    </w:pPr>
    <w:r>
      <w:rPr>
        <w:rFonts w:ascii="Carlito" w:hAnsi="Carlito" w:cs="Times New Roman"/>
        <w:sz w:val="24"/>
        <w:szCs w:val="24"/>
      </w:rPr>
      <w:t>Secretaria de Educação Profissional e Tecnológica</w:t>
    </w:r>
  </w:p>
  <w:p>
    <w:pPr>
      <w:spacing w:after="0"/>
      <w:jc w:val="center"/>
    </w:pPr>
    <w:r>
      <w:rPr>
        <w:rFonts w:ascii="Carlito" w:hAnsi="Carlito" w:cs="Times New Roman"/>
        <w:sz w:val="24"/>
        <w:szCs w:val="24"/>
      </w:rPr>
      <w:t>Instituto Federal de Educação, Ciência e Tecnologia da Paraíba</w:t>
    </w:r>
  </w:p>
  <w:p>
    <w:pPr>
      <w:spacing w:after="29"/>
      <w:jc w:val="center"/>
    </w:pPr>
    <w:bookmarkStart w:id="8" w:name="__DdeLink__567_2445662"/>
    <w:r>
      <w:rPr>
        <w:rFonts w:ascii="Carlito" w:hAnsi="Carlito" w:cs="Carlito"/>
        <w:sz w:val="24"/>
        <w:szCs w:val="24"/>
      </w:rPr>
      <w:t>Campus</w:t>
    </w:r>
    <w:bookmarkEnd w:id="8"/>
    <w:r>
      <w:rPr>
        <w:rFonts w:ascii="Carlito" w:hAnsi="Carlito" w:cs="Carlito"/>
        <w:sz w:val="24"/>
        <w:szCs w:val="24"/>
      </w:rPr>
      <w:t xml:space="preserve"> João Pessoa</w:t>
    </w:r>
  </w:p>
  <w:p>
    <w:pPr>
      <w:pStyle w:val="9"/>
      <w:tabs>
        <w:tab w:val="left" w:pos="4735"/>
        <w:tab w:val="clear" w:pos="4252"/>
        <w:tab w:val="clear" w:pos="850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7"/>
      <w:lvlText w:val=""/>
      <w:lvlJc w:val="left"/>
      <w:pPr>
        <w:tabs>
          <w:tab w:val="left" w:pos="1492"/>
        </w:tabs>
        <w:ind w:left="1492" w:hanging="360"/>
      </w:pPr>
      <w:rPr>
        <w:rFonts w:hint="default" w:ascii="Symbol" w:hAnsi="Symbol"/>
      </w:rPr>
    </w:lvl>
  </w:abstractNum>
  <w:abstractNum w:abstractNumId="1">
    <w:nsid w:val="1D5C100D"/>
    <w:multiLevelType w:val="multilevel"/>
    <w:tmpl w:val="1D5C100D"/>
    <w:lvl w:ilvl="0" w:tentative="0">
      <w:start w:val="1"/>
      <w:numFmt w:val="decimal"/>
      <w:pStyle w:val="39"/>
      <w:lvlText w:val="%1."/>
      <w:lvlJc w:val="left"/>
      <w:pPr>
        <w:ind w:left="360" w:hanging="360"/>
      </w:pPr>
      <w:rPr>
        <w:rFonts w:hint="default" w:ascii="Arial" w:hAnsi="Arial" w:cs="Arial" w:eastAsiaTheme="majorEastAsia"/>
        <w:b/>
      </w:rPr>
    </w:lvl>
    <w:lvl w:ilvl="1" w:tentative="0">
      <w:start w:val="1"/>
      <w:numFmt w:val="decimal"/>
      <w:lvlText w:val="%1.%2."/>
      <w:lvlJc w:val="left"/>
      <w:pPr>
        <w:ind w:left="432" w:hanging="432"/>
      </w:pPr>
      <w:rPr>
        <w:rFonts w:hint="default"/>
        <w:b w:val="0"/>
      </w:rPr>
    </w:lvl>
    <w:lvl w:ilvl="2" w:tentative="0">
      <w:start w:val="1"/>
      <w:numFmt w:val="decimal"/>
      <w:lvlText w:val="%1.%2.%3"/>
      <w:lvlJc w:val="left"/>
      <w:pPr>
        <w:ind w:left="1922" w:hanging="504"/>
      </w:pPr>
      <w:rPr>
        <w:rFonts w:hint="default" w:ascii="Arial" w:hAnsi="Arial" w:eastAsia="Times New Roman" w:cs="Arial"/>
        <w:b w:val="0"/>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94D3837"/>
    <w:multiLevelType w:val="multilevel"/>
    <w:tmpl w:val="294D3837"/>
    <w:lvl w:ilvl="0" w:tentative="0">
      <w:start w:val="9"/>
      <w:numFmt w:val="decimal"/>
      <w:lvlText w:val="%1"/>
      <w:lvlJc w:val="left"/>
      <w:pPr>
        <w:ind w:left="735" w:hanging="360"/>
      </w:pPr>
      <w:rPr>
        <w:rFonts w:hint="default"/>
      </w:rPr>
    </w:lvl>
    <w:lvl w:ilvl="1" w:tentative="0">
      <w:start w:val="1"/>
      <w:numFmt w:val="decimal"/>
      <w:isLgl/>
      <w:lvlText w:val="%1.%2."/>
      <w:lvlJc w:val="left"/>
      <w:pPr>
        <w:ind w:left="1287" w:hanging="360"/>
      </w:pPr>
      <w:rPr>
        <w:rFonts w:hint="default"/>
        <w:b w:val="0"/>
      </w:rPr>
    </w:lvl>
    <w:lvl w:ilvl="2" w:tentative="0">
      <w:start w:val="1"/>
      <w:numFmt w:val="decimal"/>
      <w:isLgl/>
      <w:lvlText w:val="%1.%2.%3."/>
      <w:lvlJc w:val="left"/>
      <w:pPr>
        <w:ind w:left="2199" w:hanging="720"/>
      </w:pPr>
      <w:rPr>
        <w:rFonts w:hint="default"/>
        <w:b w:val="0"/>
      </w:rPr>
    </w:lvl>
    <w:lvl w:ilvl="3" w:tentative="0">
      <w:start w:val="1"/>
      <w:numFmt w:val="decimal"/>
      <w:isLgl/>
      <w:lvlText w:val="%1.%2.%3.%4."/>
      <w:lvlJc w:val="left"/>
      <w:pPr>
        <w:ind w:left="2751" w:hanging="720"/>
      </w:pPr>
      <w:rPr>
        <w:rFonts w:hint="default"/>
      </w:rPr>
    </w:lvl>
    <w:lvl w:ilvl="4" w:tentative="0">
      <w:start w:val="1"/>
      <w:numFmt w:val="decimal"/>
      <w:isLgl/>
      <w:lvlText w:val="%1.%2.%3.%4.%5."/>
      <w:lvlJc w:val="left"/>
      <w:pPr>
        <w:ind w:left="3663" w:hanging="1080"/>
      </w:pPr>
      <w:rPr>
        <w:rFonts w:hint="default"/>
      </w:rPr>
    </w:lvl>
    <w:lvl w:ilvl="5" w:tentative="0">
      <w:start w:val="1"/>
      <w:numFmt w:val="decimal"/>
      <w:isLgl/>
      <w:lvlText w:val="%1.%2.%3.%4.%5.%6."/>
      <w:lvlJc w:val="left"/>
      <w:pPr>
        <w:ind w:left="4215" w:hanging="1080"/>
      </w:pPr>
      <w:rPr>
        <w:rFonts w:hint="default"/>
      </w:rPr>
    </w:lvl>
    <w:lvl w:ilvl="6" w:tentative="0">
      <w:start w:val="1"/>
      <w:numFmt w:val="decimal"/>
      <w:isLgl/>
      <w:lvlText w:val="%1.%2.%3.%4.%5.%6.%7."/>
      <w:lvlJc w:val="left"/>
      <w:pPr>
        <w:ind w:left="5127" w:hanging="1440"/>
      </w:pPr>
      <w:rPr>
        <w:rFonts w:hint="default"/>
      </w:rPr>
    </w:lvl>
    <w:lvl w:ilvl="7" w:tentative="0">
      <w:start w:val="1"/>
      <w:numFmt w:val="decimal"/>
      <w:isLgl/>
      <w:lvlText w:val="%1.%2.%3.%4.%5.%6.%7.%8."/>
      <w:lvlJc w:val="left"/>
      <w:pPr>
        <w:ind w:left="5679" w:hanging="1440"/>
      </w:pPr>
      <w:rPr>
        <w:rFonts w:hint="default"/>
      </w:rPr>
    </w:lvl>
    <w:lvl w:ilvl="8" w:tentative="0">
      <w:start w:val="1"/>
      <w:numFmt w:val="decimal"/>
      <w:isLgl/>
      <w:lvlText w:val="%1.%2.%3.%4.%5.%6.%7.%8.%9."/>
      <w:lvlJc w:val="left"/>
      <w:pPr>
        <w:ind w:left="6591" w:hanging="1800"/>
      </w:pPr>
      <w:rPr>
        <w:rFonts w:hint="default"/>
      </w:rPr>
    </w:lvl>
  </w:abstractNum>
  <w:abstractNum w:abstractNumId="3">
    <w:nsid w:val="43F4BE88"/>
    <w:multiLevelType w:val="singleLevel"/>
    <w:tmpl w:val="43F4BE88"/>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449E04EF"/>
    <w:multiLevelType w:val="singleLevel"/>
    <w:tmpl w:val="449E04EF"/>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58C70088"/>
    <w:multiLevelType w:val="multilevel"/>
    <w:tmpl w:val="58C70088"/>
    <w:lvl w:ilvl="0" w:tentative="0">
      <w:start w:val="1"/>
      <w:numFmt w:val="decimal"/>
      <w:pStyle w:val="66"/>
      <w:lvlText w:val="%1."/>
      <w:lvlJc w:val="left"/>
      <w:pPr>
        <w:ind w:left="502" w:hanging="360"/>
      </w:pPr>
      <w:rPr>
        <w:b/>
        <w:i w:val="0"/>
        <w:strike w:val="0"/>
        <w:dstrike w:val="0"/>
      </w:rPr>
    </w:lvl>
    <w:lvl w:ilvl="1" w:tentative="0">
      <w:start w:val="1"/>
      <w:numFmt w:val="decimal"/>
      <w:pStyle w:val="65"/>
      <w:lvlText w:val="%1.%2."/>
      <w:lvlJc w:val="left"/>
      <w:pPr>
        <w:ind w:left="858" w:hanging="432"/>
      </w:pPr>
      <w:rPr>
        <w:b w:val="0"/>
        <w:strike w:val="0"/>
      </w:rPr>
    </w:lvl>
    <w:lvl w:ilvl="2" w:tentative="0">
      <w:start w:val="1"/>
      <w:numFmt w:val="decimal"/>
      <w:pStyle w:val="67"/>
      <w:lvlText w:val="%1.%2.%3."/>
      <w:lvlJc w:val="left"/>
      <w:pPr>
        <w:ind w:left="1224" w:hanging="504"/>
      </w:pPr>
      <w:rPr>
        <w:i w:val="0"/>
        <w:strike w:val="0"/>
      </w:rPr>
    </w:lvl>
    <w:lvl w:ilvl="3" w:tentative="0">
      <w:start w:val="1"/>
      <w:numFmt w:val="decimal"/>
      <w:pStyle w:val="68"/>
      <w:lvlText w:val="%1.%2.%3.%4."/>
      <w:lvlJc w:val="left"/>
      <w:pPr>
        <w:ind w:left="1728" w:hanging="648"/>
      </w:pPr>
    </w:lvl>
    <w:lvl w:ilvl="4" w:tentative="0">
      <w:start w:val="1"/>
      <w:numFmt w:val="decimal"/>
      <w:pStyle w:val="69"/>
      <w:lvlText w:val="%1.%2.%3.%4.%5."/>
      <w:lvlJc w:val="left"/>
      <w:pPr>
        <w:ind w:left="4053"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6B416A47"/>
    <w:multiLevelType w:val="multilevel"/>
    <w:tmpl w:val="6B416A47"/>
    <w:lvl w:ilvl="0" w:tentative="0">
      <w:start w:val="4"/>
      <w:numFmt w:val="decimal"/>
      <w:lvlText w:val="%1"/>
      <w:lvlJc w:val="left"/>
      <w:pPr>
        <w:ind w:left="435" w:hanging="435"/>
      </w:pPr>
      <w:rPr>
        <w:rFonts w:hint="default"/>
      </w:rPr>
    </w:lvl>
    <w:lvl w:ilvl="1" w:tentative="0">
      <w:start w:val="4"/>
      <w:numFmt w:val="decimal"/>
      <w:lvlText w:val="%1.%2"/>
      <w:lvlJc w:val="left"/>
      <w:pPr>
        <w:ind w:left="1002" w:hanging="435"/>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num w:numId="1">
    <w:abstractNumId w:val="0"/>
  </w:num>
  <w:num w:numId="2">
    <w:abstractNumId w:val="1"/>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0EE"/>
    <w:rsid w:val="0000071E"/>
    <w:rsid w:val="00001089"/>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B1F"/>
    <w:rsid w:val="00015076"/>
    <w:rsid w:val="00015651"/>
    <w:rsid w:val="000156E9"/>
    <w:rsid w:val="00015783"/>
    <w:rsid w:val="000212C9"/>
    <w:rsid w:val="0002260C"/>
    <w:rsid w:val="0002289A"/>
    <w:rsid w:val="000229B1"/>
    <w:rsid w:val="00022BA7"/>
    <w:rsid w:val="0002306D"/>
    <w:rsid w:val="000242C8"/>
    <w:rsid w:val="00025B38"/>
    <w:rsid w:val="00025E06"/>
    <w:rsid w:val="00027155"/>
    <w:rsid w:val="000277DE"/>
    <w:rsid w:val="000318BA"/>
    <w:rsid w:val="00031E06"/>
    <w:rsid w:val="000322A8"/>
    <w:rsid w:val="00032EA8"/>
    <w:rsid w:val="00033DA9"/>
    <w:rsid w:val="00033E86"/>
    <w:rsid w:val="00034A29"/>
    <w:rsid w:val="00034FD6"/>
    <w:rsid w:val="0003743B"/>
    <w:rsid w:val="00040217"/>
    <w:rsid w:val="0004076C"/>
    <w:rsid w:val="000408A0"/>
    <w:rsid w:val="00040957"/>
    <w:rsid w:val="00041176"/>
    <w:rsid w:val="00041517"/>
    <w:rsid w:val="0004226B"/>
    <w:rsid w:val="00042328"/>
    <w:rsid w:val="00042708"/>
    <w:rsid w:val="000438B3"/>
    <w:rsid w:val="00044685"/>
    <w:rsid w:val="0004478F"/>
    <w:rsid w:val="0004587A"/>
    <w:rsid w:val="00045EE0"/>
    <w:rsid w:val="00047D73"/>
    <w:rsid w:val="000501A4"/>
    <w:rsid w:val="000502FB"/>
    <w:rsid w:val="00051782"/>
    <w:rsid w:val="00051F0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25AE"/>
    <w:rsid w:val="00073004"/>
    <w:rsid w:val="00073596"/>
    <w:rsid w:val="00073852"/>
    <w:rsid w:val="0007625C"/>
    <w:rsid w:val="00076CBC"/>
    <w:rsid w:val="000779C7"/>
    <w:rsid w:val="00077F21"/>
    <w:rsid w:val="00080710"/>
    <w:rsid w:val="00081098"/>
    <w:rsid w:val="00081282"/>
    <w:rsid w:val="0008205E"/>
    <w:rsid w:val="000826B8"/>
    <w:rsid w:val="000850DC"/>
    <w:rsid w:val="000879FB"/>
    <w:rsid w:val="00087EF2"/>
    <w:rsid w:val="00090D08"/>
    <w:rsid w:val="00090F5D"/>
    <w:rsid w:val="00092759"/>
    <w:rsid w:val="00092CA5"/>
    <w:rsid w:val="00093B86"/>
    <w:rsid w:val="00094321"/>
    <w:rsid w:val="000967EB"/>
    <w:rsid w:val="00096B41"/>
    <w:rsid w:val="000A0129"/>
    <w:rsid w:val="000A0BAC"/>
    <w:rsid w:val="000A102A"/>
    <w:rsid w:val="000A1A7B"/>
    <w:rsid w:val="000A1B88"/>
    <w:rsid w:val="000A23DA"/>
    <w:rsid w:val="000A494B"/>
    <w:rsid w:val="000A674F"/>
    <w:rsid w:val="000A6EF7"/>
    <w:rsid w:val="000A7A9F"/>
    <w:rsid w:val="000B01DF"/>
    <w:rsid w:val="000B49DC"/>
    <w:rsid w:val="000B56AB"/>
    <w:rsid w:val="000B7B55"/>
    <w:rsid w:val="000C123B"/>
    <w:rsid w:val="000C19BD"/>
    <w:rsid w:val="000C1A8D"/>
    <w:rsid w:val="000C21AD"/>
    <w:rsid w:val="000C2C16"/>
    <w:rsid w:val="000C40ED"/>
    <w:rsid w:val="000C5D14"/>
    <w:rsid w:val="000C6446"/>
    <w:rsid w:val="000C670A"/>
    <w:rsid w:val="000C7B49"/>
    <w:rsid w:val="000D2AC3"/>
    <w:rsid w:val="000D3590"/>
    <w:rsid w:val="000D4D3E"/>
    <w:rsid w:val="000D5CAD"/>
    <w:rsid w:val="000E15DC"/>
    <w:rsid w:val="000E20A6"/>
    <w:rsid w:val="000E320E"/>
    <w:rsid w:val="000E3CC6"/>
    <w:rsid w:val="000E4F8C"/>
    <w:rsid w:val="000E5ED5"/>
    <w:rsid w:val="000E739A"/>
    <w:rsid w:val="000F03F6"/>
    <w:rsid w:val="000F104D"/>
    <w:rsid w:val="000F1C1C"/>
    <w:rsid w:val="000F4088"/>
    <w:rsid w:val="000F4F96"/>
    <w:rsid w:val="000F5A07"/>
    <w:rsid w:val="00100606"/>
    <w:rsid w:val="00100990"/>
    <w:rsid w:val="0010099D"/>
    <w:rsid w:val="00102F0D"/>
    <w:rsid w:val="00102F2B"/>
    <w:rsid w:val="00103391"/>
    <w:rsid w:val="00103440"/>
    <w:rsid w:val="00103668"/>
    <w:rsid w:val="00105071"/>
    <w:rsid w:val="00105707"/>
    <w:rsid w:val="001103FF"/>
    <w:rsid w:val="001116F8"/>
    <w:rsid w:val="00111C8B"/>
    <w:rsid w:val="00113EEB"/>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0AB"/>
    <w:rsid w:val="00140584"/>
    <w:rsid w:val="00141189"/>
    <w:rsid w:val="001414AC"/>
    <w:rsid w:val="001419EE"/>
    <w:rsid w:val="0014325E"/>
    <w:rsid w:val="00143E29"/>
    <w:rsid w:val="001443B4"/>
    <w:rsid w:val="0014670B"/>
    <w:rsid w:val="00146BDF"/>
    <w:rsid w:val="00150295"/>
    <w:rsid w:val="001516EA"/>
    <w:rsid w:val="0015394F"/>
    <w:rsid w:val="00153E25"/>
    <w:rsid w:val="00154505"/>
    <w:rsid w:val="00155D25"/>
    <w:rsid w:val="0015684D"/>
    <w:rsid w:val="00160602"/>
    <w:rsid w:val="001608E4"/>
    <w:rsid w:val="00160BBD"/>
    <w:rsid w:val="00160DA4"/>
    <w:rsid w:val="00164870"/>
    <w:rsid w:val="00165573"/>
    <w:rsid w:val="00165577"/>
    <w:rsid w:val="0016584A"/>
    <w:rsid w:val="0016603C"/>
    <w:rsid w:val="00166516"/>
    <w:rsid w:val="00166820"/>
    <w:rsid w:val="00170173"/>
    <w:rsid w:val="00170CE1"/>
    <w:rsid w:val="0017284B"/>
    <w:rsid w:val="0017326E"/>
    <w:rsid w:val="00174CAA"/>
    <w:rsid w:val="00174F1B"/>
    <w:rsid w:val="00175687"/>
    <w:rsid w:val="00175B9C"/>
    <w:rsid w:val="00177958"/>
    <w:rsid w:val="00177CD5"/>
    <w:rsid w:val="0018179A"/>
    <w:rsid w:val="001817D2"/>
    <w:rsid w:val="00181E1F"/>
    <w:rsid w:val="0018218A"/>
    <w:rsid w:val="00182912"/>
    <w:rsid w:val="00184086"/>
    <w:rsid w:val="00184618"/>
    <w:rsid w:val="00184919"/>
    <w:rsid w:val="001904A8"/>
    <w:rsid w:val="001937C4"/>
    <w:rsid w:val="00194118"/>
    <w:rsid w:val="001979BA"/>
    <w:rsid w:val="001A1732"/>
    <w:rsid w:val="001A20E8"/>
    <w:rsid w:val="001A2CE9"/>
    <w:rsid w:val="001A3A05"/>
    <w:rsid w:val="001A3E18"/>
    <w:rsid w:val="001A43DE"/>
    <w:rsid w:val="001A4748"/>
    <w:rsid w:val="001A570F"/>
    <w:rsid w:val="001B005B"/>
    <w:rsid w:val="001B1079"/>
    <w:rsid w:val="001B2A3F"/>
    <w:rsid w:val="001B7184"/>
    <w:rsid w:val="001B7FE6"/>
    <w:rsid w:val="001C3F32"/>
    <w:rsid w:val="001C48B6"/>
    <w:rsid w:val="001C4C04"/>
    <w:rsid w:val="001C57FF"/>
    <w:rsid w:val="001C694F"/>
    <w:rsid w:val="001C6C9C"/>
    <w:rsid w:val="001C70DB"/>
    <w:rsid w:val="001C721E"/>
    <w:rsid w:val="001D288E"/>
    <w:rsid w:val="001D2C58"/>
    <w:rsid w:val="001D3951"/>
    <w:rsid w:val="001D3ED8"/>
    <w:rsid w:val="001D4EF3"/>
    <w:rsid w:val="001D6554"/>
    <w:rsid w:val="001D7B52"/>
    <w:rsid w:val="001E053E"/>
    <w:rsid w:val="001E1335"/>
    <w:rsid w:val="001E204B"/>
    <w:rsid w:val="001E2579"/>
    <w:rsid w:val="001E3AAF"/>
    <w:rsid w:val="001E52DF"/>
    <w:rsid w:val="001E7281"/>
    <w:rsid w:val="001F0A6E"/>
    <w:rsid w:val="001F0D23"/>
    <w:rsid w:val="001F28BE"/>
    <w:rsid w:val="001F39FA"/>
    <w:rsid w:val="001F5154"/>
    <w:rsid w:val="001F6A1C"/>
    <w:rsid w:val="001F6C44"/>
    <w:rsid w:val="00200097"/>
    <w:rsid w:val="00201BC1"/>
    <w:rsid w:val="00202234"/>
    <w:rsid w:val="00202A04"/>
    <w:rsid w:val="00202DBE"/>
    <w:rsid w:val="00203BD2"/>
    <w:rsid w:val="00205197"/>
    <w:rsid w:val="0020593D"/>
    <w:rsid w:val="002059A3"/>
    <w:rsid w:val="002059AC"/>
    <w:rsid w:val="00206083"/>
    <w:rsid w:val="00206480"/>
    <w:rsid w:val="00207B98"/>
    <w:rsid w:val="00210001"/>
    <w:rsid w:val="002105DC"/>
    <w:rsid w:val="0021106D"/>
    <w:rsid w:val="00211C19"/>
    <w:rsid w:val="00211F6A"/>
    <w:rsid w:val="00212535"/>
    <w:rsid w:val="00213E32"/>
    <w:rsid w:val="00214276"/>
    <w:rsid w:val="00216492"/>
    <w:rsid w:val="0021698A"/>
    <w:rsid w:val="00216AA5"/>
    <w:rsid w:val="00220307"/>
    <w:rsid w:val="00220365"/>
    <w:rsid w:val="00221BA5"/>
    <w:rsid w:val="00222980"/>
    <w:rsid w:val="0022333F"/>
    <w:rsid w:val="002241A2"/>
    <w:rsid w:val="0022617E"/>
    <w:rsid w:val="00226320"/>
    <w:rsid w:val="002273DE"/>
    <w:rsid w:val="00231E9C"/>
    <w:rsid w:val="002345B4"/>
    <w:rsid w:val="00236150"/>
    <w:rsid w:val="00236EF6"/>
    <w:rsid w:val="00240B17"/>
    <w:rsid w:val="00241D78"/>
    <w:rsid w:val="0024516A"/>
    <w:rsid w:val="00245337"/>
    <w:rsid w:val="00245C2C"/>
    <w:rsid w:val="002463FA"/>
    <w:rsid w:val="00246DAE"/>
    <w:rsid w:val="00250C01"/>
    <w:rsid w:val="002521DC"/>
    <w:rsid w:val="002538B4"/>
    <w:rsid w:val="002538E3"/>
    <w:rsid w:val="00255593"/>
    <w:rsid w:val="00255907"/>
    <w:rsid w:val="00255C24"/>
    <w:rsid w:val="002573FE"/>
    <w:rsid w:val="002574DA"/>
    <w:rsid w:val="00257699"/>
    <w:rsid w:val="0026009E"/>
    <w:rsid w:val="0026065F"/>
    <w:rsid w:val="00260802"/>
    <w:rsid w:val="002617C8"/>
    <w:rsid w:val="002617F3"/>
    <w:rsid w:val="00261A38"/>
    <w:rsid w:val="0026386A"/>
    <w:rsid w:val="00263A2E"/>
    <w:rsid w:val="0026417F"/>
    <w:rsid w:val="0026552C"/>
    <w:rsid w:val="00267125"/>
    <w:rsid w:val="00267B22"/>
    <w:rsid w:val="0027097C"/>
    <w:rsid w:val="00271CB6"/>
    <w:rsid w:val="002722EA"/>
    <w:rsid w:val="00272E2D"/>
    <w:rsid w:val="0027301A"/>
    <w:rsid w:val="00273809"/>
    <w:rsid w:val="00274FAF"/>
    <w:rsid w:val="00276ECC"/>
    <w:rsid w:val="00277FA1"/>
    <w:rsid w:val="00280846"/>
    <w:rsid w:val="00281E5E"/>
    <w:rsid w:val="00282AC5"/>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1AC3"/>
    <w:rsid w:val="002926AC"/>
    <w:rsid w:val="00292A58"/>
    <w:rsid w:val="002937D4"/>
    <w:rsid w:val="00293FFC"/>
    <w:rsid w:val="00294348"/>
    <w:rsid w:val="00294C1A"/>
    <w:rsid w:val="002950EF"/>
    <w:rsid w:val="002A046D"/>
    <w:rsid w:val="002A17C6"/>
    <w:rsid w:val="002A1D8D"/>
    <w:rsid w:val="002A3D1E"/>
    <w:rsid w:val="002A50DF"/>
    <w:rsid w:val="002A5B83"/>
    <w:rsid w:val="002A611E"/>
    <w:rsid w:val="002A7034"/>
    <w:rsid w:val="002A7E55"/>
    <w:rsid w:val="002B0CB2"/>
    <w:rsid w:val="002B138E"/>
    <w:rsid w:val="002B39B4"/>
    <w:rsid w:val="002B3F95"/>
    <w:rsid w:val="002B50AB"/>
    <w:rsid w:val="002B5E72"/>
    <w:rsid w:val="002B60CC"/>
    <w:rsid w:val="002C006A"/>
    <w:rsid w:val="002C54C1"/>
    <w:rsid w:val="002C5E97"/>
    <w:rsid w:val="002C661C"/>
    <w:rsid w:val="002C7B23"/>
    <w:rsid w:val="002D04FB"/>
    <w:rsid w:val="002D1B50"/>
    <w:rsid w:val="002D21D8"/>
    <w:rsid w:val="002D78B4"/>
    <w:rsid w:val="002D7C8E"/>
    <w:rsid w:val="002E160F"/>
    <w:rsid w:val="002E1EE8"/>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2192E"/>
    <w:rsid w:val="00321A1D"/>
    <w:rsid w:val="003238C3"/>
    <w:rsid w:val="00323E6D"/>
    <w:rsid w:val="00324781"/>
    <w:rsid w:val="00324BCD"/>
    <w:rsid w:val="00324F30"/>
    <w:rsid w:val="00325023"/>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2322"/>
    <w:rsid w:val="00342A21"/>
    <w:rsid w:val="00342AA1"/>
    <w:rsid w:val="00343032"/>
    <w:rsid w:val="00343533"/>
    <w:rsid w:val="00343DE8"/>
    <w:rsid w:val="00344637"/>
    <w:rsid w:val="00344BEF"/>
    <w:rsid w:val="00344C69"/>
    <w:rsid w:val="00344F82"/>
    <w:rsid w:val="0034783E"/>
    <w:rsid w:val="00350615"/>
    <w:rsid w:val="00350BED"/>
    <w:rsid w:val="00350E1F"/>
    <w:rsid w:val="00354B78"/>
    <w:rsid w:val="00355EDF"/>
    <w:rsid w:val="0035658A"/>
    <w:rsid w:val="00360501"/>
    <w:rsid w:val="003605F6"/>
    <w:rsid w:val="00361551"/>
    <w:rsid w:val="003639AA"/>
    <w:rsid w:val="00363E13"/>
    <w:rsid w:val="00364141"/>
    <w:rsid w:val="00364F4B"/>
    <w:rsid w:val="00365C7D"/>
    <w:rsid w:val="003664F7"/>
    <w:rsid w:val="00366705"/>
    <w:rsid w:val="00367D72"/>
    <w:rsid w:val="00367EF6"/>
    <w:rsid w:val="00370241"/>
    <w:rsid w:val="0037125D"/>
    <w:rsid w:val="00371EF6"/>
    <w:rsid w:val="00372512"/>
    <w:rsid w:val="00373F2A"/>
    <w:rsid w:val="003778BE"/>
    <w:rsid w:val="003779A2"/>
    <w:rsid w:val="0038139C"/>
    <w:rsid w:val="00383436"/>
    <w:rsid w:val="00384CB4"/>
    <w:rsid w:val="003859E2"/>
    <w:rsid w:val="00386157"/>
    <w:rsid w:val="00386912"/>
    <w:rsid w:val="00386ADE"/>
    <w:rsid w:val="00390D0A"/>
    <w:rsid w:val="00391AB2"/>
    <w:rsid w:val="00391E14"/>
    <w:rsid w:val="00393C0E"/>
    <w:rsid w:val="003945AA"/>
    <w:rsid w:val="0039545C"/>
    <w:rsid w:val="003959F6"/>
    <w:rsid w:val="00396DE4"/>
    <w:rsid w:val="00396E8A"/>
    <w:rsid w:val="003A05B0"/>
    <w:rsid w:val="003A0AD2"/>
    <w:rsid w:val="003A0D0D"/>
    <w:rsid w:val="003A1ED1"/>
    <w:rsid w:val="003A4E63"/>
    <w:rsid w:val="003A728F"/>
    <w:rsid w:val="003A73C1"/>
    <w:rsid w:val="003A7599"/>
    <w:rsid w:val="003A7B29"/>
    <w:rsid w:val="003B01FD"/>
    <w:rsid w:val="003B09A5"/>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5E9"/>
    <w:rsid w:val="003C6615"/>
    <w:rsid w:val="003C6AD6"/>
    <w:rsid w:val="003D2C66"/>
    <w:rsid w:val="003D47AF"/>
    <w:rsid w:val="003D4C30"/>
    <w:rsid w:val="003D57A2"/>
    <w:rsid w:val="003D729D"/>
    <w:rsid w:val="003D7BC9"/>
    <w:rsid w:val="003E036D"/>
    <w:rsid w:val="003E1085"/>
    <w:rsid w:val="003E26F1"/>
    <w:rsid w:val="003E4719"/>
    <w:rsid w:val="003E4927"/>
    <w:rsid w:val="003E4D76"/>
    <w:rsid w:val="003E5379"/>
    <w:rsid w:val="003E55B1"/>
    <w:rsid w:val="003E6D56"/>
    <w:rsid w:val="003F004A"/>
    <w:rsid w:val="003F0AE3"/>
    <w:rsid w:val="003F1437"/>
    <w:rsid w:val="003F185C"/>
    <w:rsid w:val="003F2446"/>
    <w:rsid w:val="003F367F"/>
    <w:rsid w:val="003F36A3"/>
    <w:rsid w:val="003F5CD4"/>
    <w:rsid w:val="003F6E6A"/>
    <w:rsid w:val="003F6F05"/>
    <w:rsid w:val="003F7C89"/>
    <w:rsid w:val="00400200"/>
    <w:rsid w:val="004011D9"/>
    <w:rsid w:val="00401A9B"/>
    <w:rsid w:val="004021DF"/>
    <w:rsid w:val="004036E0"/>
    <w:rsid w:val="004037DD"/>
    <w:rsid w:val="00403EDC"/>
    <w:rsid w:val="00404065"/>
    <w:rsid w:val="0040443F"/>
    <w:rsid w:val="004053E1"/>
    <w:rsid w:val="00406952"/>
    <w:rsid w:val="00407603"/>
    <w:rsid w:val="004076F7"/>
    <w:rsid w:val="00407F1C"/>
    <w:rsid w:val="004122ED"/>
    <w:rsid w:val="00412C7A"/>
    <w:rsid w:val="00413089"/>
    <w:rsid w:val="0041506F"/>
    <w:rsid w:val="00415D0B"/>
    <w:rsid w:val="00415F27"/>
    <w:rsid w:val="00416A59"/>
    <w:rsid w:val="00416D8E"/>
    <w:rsid w:val="00417CA8"/>
    <w:rsid w:val="00420140"/>
    <w:rsid w:val="0042080B"/>
    <w:rsid w:val="00421408"/>
    <w:rsid w:val="0042190C"/>
    <w:rsid w:val="00421E20"/>
    <w:rsid w:val="00422721"/>
    <w:rsid w:val="004246E7"/>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5418"/>
    <w:rsid w:val="0044564C"/>
    <w:rsid w:val="00445798"/>
    <w:rsid w:val="0044725C"/>
    <w:rsid w:val="00447465"/>
    <w:rsid w:val="004505C1"/>
    <w:rsid w:val="004507B8"/>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36D"/>
    <w:rsid w:val="00460E8A"/>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2AA9"/>
    <w:rsid w:val="004834FC"/>
    <w:rsid w:val="00483B15"/>
    <w:rsid w:val="00483FB9"/>
    <w:rsid w:val="00486C44"/>
    <w:rsid w:val="004903FB"/>
    <w:rsid w:val="0049237B"/>
    <w:rsid w:val="00492E29"/>
    <w:rsid w:val="00494AE7"/>
    <w:rsid w:val="00496877"/>
    <w:rsid w:val="004A03F8"/>
    <w:rsid w:val="004A13C4"/>
    <w:rsid w:val="004A1BC0"/>
    <w:rsid w:val="004A57F5"/>
    <w:rsid w:val="004A5D92"/>
    <w:rsid w:val="004A68E6"/>
    <w:rsid w:val="004A7264"/>
    <w:rsid w:val="004A7BBC"/>
    <w:rsid w:val="004A7DEB"/>
    <w:rsid w:val="004B05B0"/>
    <w:rsid w:val="004B0CAC"/>
    <w:rsid w:val="004B19B5"/>
    <w:rsid w:val="004B1D7D"/>
    <w:rsid w:val="004B3088"/>
    <w:rsid w:val="004B32A8"/>
    <w:rsid w:val="004B37BA"/>
    <w:rsid w:val="004B3A83"/>
    <w:rsid w:val="004B460A"/>
    <w:rsid w:val="004B68C4"/>
    <w:rsid w:val="004B6B1E"/>
    <w:rsid w:val="004C0212"/>
    <w:rsid w:val="004C05F9"/>
    <w:rsid w:val="004C0B32"/>
    <w:rsid w:val="004C2BFF"/>
    <w:rsid w:val="004C41A0"/>
    <w:rsid w:val="004C49F0"/>
    <w:rsid w:val="004C52CE"/>
    <w:rsid w:val="004D3268"/>
    <w:rsid w:val="004D374E"/>
    <w:rsid w:val="004D39AE"/>
    <w:rsid w:val="004D6DCA"/>
    <w:rsid w:val="004D7205"/>
    <w:rsid w:val="004E0194"/>
    <w:rsid w:val="004E2404"/>
    <w:rsid w:val="004E2628"/>
    <w:rsid w:val="004E4437"/>
    <w:rsid w:val="004E4A16"/>
    <w:rsid w:val="004E52AA"/>
    <w:rsid w:val="004E54DA"/>
    <w:rsid w:val="004E581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076BB"/>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2993"/>
    <w:rsid w:val="00533750"/>
    <w:rsid w:val="005338DF"/>
    <w:rsid w:val="0053498D"/>
    <w:rsid w:val="00534B33"/>
    <w:rsid w:val="005356C1"/>
    <w:rsid w:val="00536923"/>
    <w:rsid w:val="005402E7"/>
    <w:rsid w:val="00540A4E"/>
    <w:rsid w:val="005434D7"/>
    <w:rsid w:val="0054384E"/>
    <w:rsid w:val="00544C09"/>
    <w:rsid w:val="00547069"/>
    <w:rsid w:val="00551CE8"/>
    <w:rsid w:val="00551F75"/>
    <w:rsid w:val="00552879"/>
    <w:rsid w:val="00554F4E"/>
    <w:rsid w:val="00555496"/>
    <w:rsid w:val="00557B3A"/>
    <w:rsid w:val="0056038A"/>
    <w:rsid w:val="0056091A"/>
    <w:rsid w:val="00561C04"/>
    <w:rsid w:val="0056213B"/>
    <w:rsid w:val="00562E08"/>
    <w:rsid w:val="00562F82"/>
    <w:rsid w:val="00564913"/>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2CC"/>
    <w:rsid w:val="005873FC"/>
    <w:rsid w:val="00590646"/>
    <w:rsid w:val="00590EAF"/>
    <w:rsid w:val="00591ADF"/>
    <w:rsid w:val="00592626"/>
    <w:rsid w:val="005926A6"/>
    <w:rsid w:val="00592FEA"/>
    <w:rsid w:val="00593A7A"/>
    <w:rsid w:val="005941CA"/>
    <w:rsid w:val="005954DF"/>
    <w:rsid w:val="005957DD"/>
    <w:rsid w:val="00595DA6"/>
    <w:rsid w:val="00596C72"/>
    <w:rsid w:val="00597898"/>
    <w:rsid w:val="005A0C51"/>
    <w:rsid w:val="005A3F8A"/>
    <w:rsid w:val="005A510C"/>
    <w:rsid w:val="005A511F"/>
    <w:rsid w:val="005A6547"/>
    <w:rsid w:val="005A6A91"/>
    <w:rsid w:val="005B0066"/>
    <w:rsid w:val="005B046F"/>
    <w:rsid w:val="005B09C8"/>
    <w:rsid w:val="005B12EE"/>
    <w:rsid w:val="005B1C59"/>
    <w:rsid w:val="005B20BB"/>
    <w:rsid w:val="005B511B"/>
    <w:rsid w:val="005B5788"/>
    <w:rsid w:val="005B58F0"/>
    <w:rsid w:val="005B654A"/>
    <w:rsid w:val="005B6D5A"/>
    <w:rsid w:val="005B7C12"/>
    <w:rsid w:val="005C1659"/>
    <w:rsid w:val="005C25B5"/>
    <w:rsid w:val="005C36F8"/>
    <w:rsid w:val="005C3930"/>
    <w:rsid w:val="005C434E"/>
    <w:rsid w:val="005C52BD"/>
    <w:rsid w:val="005C52D4"/>
    <w:rsid w:val="005C5BB0"/>
    <w:rsid w:val="005C6D5D"/>
    <w:rsid w:val="005C7669"/>
    <w:rsid w:val="005C76D8"/>
    <w:rsid w:val="005C7DCE"/>
    <w:rsid w:val="005D0DD1"/>
    <w:rsid w:val="005D0FB4"/>
    <w:rsid w:val="005D14BE"/>
    <w:rsid w:val="005D1FC2"/>
    <w:rsid w:val="005D2ACC"/>
    <w:rsid w:val="005D3030"/>
    <w:rsid w:val="005E08E2"/>
    <w:rsid w:val="005E1321"/>
    <w:rsid w:val="005E162E"/>
    <w:rsid w:val="005E1666"/>
    <w:rsid w:val="005E1C1D"/>
    <w:rsid w:val="005E2DD4"/>
    <w:rsid w:val="005E37A0"/>
    <w:rsid w:val="005E47F7"/>
    <w:rsid w:val="005E5528"/>
    <w:rsid w:val="005E6D43"/>
    <w:rsid w:val="005E7043"/>
    <w:rsid w:val="005F0676"/>
    <w:rsid w:val="005F2122"/>
    <w:rsid w:val="005F4215"/>
    <w:rsid w:val="005F51D4"/>
    <w:rsid w:val="005F65EF"/>
    <w:rsid w:val="005F6F64"/>
    <w:rsid w:val="005F729C"/>
    <w:rsid w:val="005F7B0A"/>
    <w:rsid w:val="005F7B7B"/>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5222"/>
    <w:rsid w:val="00616835"/>
    <w:rsid w:val="006171A9"/>
    <w:rsid w:val="00617518"/>
    <w:rsid w:val="00620648"/>
    <w:rsid w:val="006207E8"/>
    <w:rsid w:val="00620C94"/>
    <w:rsid w:val="006210D6"/>
    <w:rsid w:val="006217A6"/>
    <w:rsid w:val="006219D6"/>
    <w:rsid w:val="00622B52"/>
    <w:rsid w:val="00623436"/>
    <w:rsid w:val="00623498"/>
    <w:rsid w:val="006236D8"/>
    <w:rsid w:val="00625595"/>
    <w:rsid w:val="006260A4"/>
    <w:rsid w:val="00626903"/>
    <w:rsid w:val="0062767A"/>
    <w:rsid w:val="00627F57"/>
    <w:rsid w:val="00631549"/>
    <w:rsid w:val="0063246D"/>
    <w:rsid w:val="00634E98"/>
    <w:rsid w:val="00636593"/>
    <w:rsid w:val="00640298"/>
    <w:rsid w:val="00640F39"/>
    <w:rsid w:val="00640F57"/>
    <w:rsid w:val="006414FF"/>
    <w:rsid w:val="00642224"/>
    <w:rsid w:val="006443EF"/>
    <w:rsid w:val="00644FDA"/>
    <w:rsid w:val="00645C8E"/>
    <w:rsid w:val="00646E4B"/>
    <w:rsid w:val="0064710C"/>
    <w:rsid w:val="00647B47"/>
    <w:rsid w:val="00647CA5"/>
    <w:rsid w:val="006501D0"/>
    <w:rsid w:val="00650242"/>
    <w:rsid w:val="006520F3"/>
    <w:rsid w:val="006522C2"/>
    <w:rsid w:val="006525BA"/>
    <w:rsid w:val="00652C9E"/>
    <w:rsid w:val="00654A62"/>
    <w:rsid w:val="006553B5"/>
    <w:rsid w:val="00655AAF"/>
    <w:rsid w:val="00656847"/>
    <w:rsid w:val="00656A30"/>
    <w:rsid w:val="00657E82"/>
    <w:rsid w:val="006639D3"/>
    <w:rsid w:val="00663F00"/>
    <w:rsid w:val="00666099"/>
    <w:rsid w:val="00666E77"/>
    <w:rsid w:val="00667103"/>
    <w:rsid w:val="006673E7"/>
    <w:rsid w:val="006674C2"/>
    <w:rsid w:val="00667559"/>
    <w:rsid w:val="00670BB3"/>
    <w:rsid w:val="00672017"/>
    <w:rsid w:val="00673847"/>
    <w:rsid w:val="00674964"/>
    <w:rsid w:val="00674C6E"/>
    <w:rsid w:val="00677A77"/>
    <w:rsid w:val="006803C4"/>
    <w:rsid w:val="00680467"/>
    <w:rsid w:val="0068087C"/>
    <w:rsid w:val="00680B7E"/>
    <w:rsid w:val="00681927"/>
    <w:rsid w:val="0068340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E44"/>
    <w:rsid w:val="006A5F42"/>
    <w:rsid w:val="006A6103"/>
    <w:rsid w:val="006A6813"/>
    <w:rsid w:val="006B08C6"/>
    <w:rsid w:val="006B0AB0"/>
    <w:rsid w:val="006B10ED"/>
    <w:rsid w:val="006B1342"/>
    <w:rsid w:val="006B156A"/>
    <w:rsid w:val="006B1A86"/>
    <w:rsid w:val="006B3A27"/>
    <w:rsid w:val="006B4CA3"/>
    <w:rsid w:val="006B51B2"/>
    <w:rsid w:val="006B62A5"/>
    <w:rsid w:val="006C17A0"/>
    <w:rsid w:val="006C3C4A"/>
    <w:rsid w:val="006C6780"/>
    <w:rsid w:val="006C67DA"/>
    <w:rsid w:val="006C69E6"/>
    <w:rsid w:val="006C7CCE"/>
    <w:rsid w:val="006D000D"/>
    <w:rsid w:val="006D0921"/>
    <w:rsid w:val="006D1198"/>
    <w:rsid w:val="006D18F6"/>
    <w:rsid w:val="006D27E3"/>
    <w:rsid w:val="006D4135"/>
    <w:rsid w:val="006D425F"/>
    <w:rsid w:val="006D6610"/>
    <w:rsid w:val="006E09F2"/>
    <w:rsid w:val="006E1476"/>
    <w:rsid w:val="006E1E3F"/>
    <w:rsid w:val="006E4C6B"/>
    <w:rsid w:val="006E4F55"/>
    <w:rsid w:val="006E54A6"/>
    <w:rsid w:val="006E649F"/>
    <w:rsid w:val="006E721C"/>
    <w:rsid w:val="006F12DD"/>
    <w:rsid w:val="006F3EE2"/>
    <w:rsid w:val="006F42FA"/>
    <w:rsid w:val="006F4798"/>
    <w:rsid w:val="006F4C61"/>
    <w:rsid w:val="006F777E"/>
    <w:rsid w:val="006F78F5"/>
    <w:rsid w:val="0070051E"/>
    <w:rsid w:val="00700CBD"/>
    <w:rsid w:val="00701698"/>
    <w:rsid w:val="0070180C"/>
    <w:rsid w:val="00702125"/>
    <w:rsid w:val="007025B5"/>
    <w:rsid w:val="007028C7"/>
    <w:rsid w:val="007029D6"/>
    <w:rsid w:val="00703295"/>
    <w:rsid w:val="0070372D"/>
    <w:rsid w:val="00704462"/>
    <w:rsid w:val="00706C56"/>
    <w:rsid w:val="00707396"/>
    <w:rsid w:val="0070762A"/>
    <w:rsid w:val="00707F9F"/>
    <w:rsid w:val="00710C7E"/>
    <w:rsid w:val="00714034"/>
    <w:rsid w:val="00714A09"/>
    <w:rsid w:val="00715114"/>
    <w:rsid w:val="007166B3"/>
    <w:rsid w:val="00720342"/>
    <w:rsid w:val="00720EA6"/>
    <w:rsid w:val="00722D13"/>
    <w:rsid w:val="00722EB6"/>
    <w:rsid w:val="007242A3"/>
    <w:rsid w:val="00730D94"/>
    <w:rsid w:val="0073153F"/>
    <w:rsid w:val="00731741"/>
    <w:rsid w:val="0073225B"/>
    <w:rsid w:val="00732BBA"/>
    <w:rsid w:val="00733DE0"/>
    <w:rsid w:val="00734628"/>
    <w:rsid w:val="007350B8"/>
    <w:rsid w:val="007357C5"/>
    <w:rsid w:val="00735EE1"/>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4359"/>
    <w:rsid w:val="007569EA"/>
    <w:rsid w:val="00756F76"/>
    <w:rsid w:val="00757201"/>
    <w:rsid w:val="00757B14"/>
    <w:rsid w:val="0076316C"/>
    <w:rsid w:val="00763C01"/>
    <w:rsid w:val="00763FAD"/>
    <w:rsid w:val="007643AB"/>
    <w:rsid w:val="00764F36"/>
    <w:rsid w:val="007679B9"/>
    <w:rsid w:val="00767A83"/>
    <w:rsid w:val="00771D84"/>
    <w:rsid w:val="00772D94"/>
    <w:rsid w:val="00776572"/>
    <w:rsid w:val="0077738D"/>
    <w:rsid w:val="007774C2"/>
    <w:rsid w:val="00781AD8"/>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608B"/>
    <w:rsid w:val="007C62E7"/>
    <w:rsid w:val="007C671E"/>
    <w:rsid w:val="007C6AA3"/>
    <w:rsid w:val="007C7457"/>
    <w:rsid w:val="007D1CB4"/>
    <w:rsid w:val="007D3011"/>
    <w:rsid w:val="007D3195"/>
    <w:rsid w:val="007D3572"/>
    <w:rsid w:val="007D501A"/>
    <w:rsid w:val="007D53CD"/>
    <w:rsid w:val="007D6377"/>
    <w:rsid w:val="007D6528"/>
    <w:rsid w:val="007D699F"/>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56C3"/>
    <w:rsid w:val="007F6AB0"/>
    <w:rsid w:val="00800A85"/>
    <w:rsid w:val="0080257D"/>
    <w:rsid w:val="008025AE"/>
    <w:rsid w:val="0080375F"/>
    <w:rsid w:val="00803805"/>
    <w:rsid w:val="00803812"/>
    <w:rsid w:val="00803EA8"/>
    <w:rsid w:val="008040EC"/>
    <w:rsid w:val="008052B1"/>
    <w:rsid w:val="0080582D"/>
    <w:rsid w:val="00805D11"/>
    <w:rsid w:val="00805F72"/>
    <w:rsid w:val="0080756C"/>
    <w:rsid w:val="00810325"/>
    <w:rsid w:val="00811243"/>
    <w:rsid w:val="00811E3F"/>
    <w:rsid w:val="0081220D"/>
    <w:rsid w:val="008131BE"/>
    <w:rsid w:val="00813F88"/>
    <w:rsid w:val="00814B36"/>
    <w:rsid w:val="0081517D"/>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29CF"/>
    <w:rsid w:val="008446E2"/>
    <w:rsid w:val="00844E0E"/>
    <w:rsid w:val="00845B40"/>
    <w:rsid w:val="00847E19"/>
    <w:rsid w:val="00850CD3"/>
    <w:rsid w:val="0085112C"/>
    <w:rsid w:val="00852FCF"/>
    <w:rsid w:val="00854E60"/>
    <w:rsid w:val="00855F5F"/>
    <w:rsid w:val="008601A9"/>
    <w:rsid w:val="0086157D"/>
    <w:rsid w:val="008622AA"/>
    <w:rsid w:val="008638A1"/>
    <w:rsid w:val="00863971"/>
    <w:rsid w:val="008647FE"/>
    <w:rsid w:val="0086494C"/>
    <w:rsid w:val="00864D69"/>
    <w:rsid w:val="008651F9"/>
    <w:rsid w:val="00865B0D"/>
    <w:rsid w:val="00867652"/>
    <w:rsid w:val="00867756"/>
    <w:rsid w:val="0087179D"/>
    <w:rsid w:val="00871B33"/>
    <w:rsid w:val="00871D88"/>
    <w:rsid w:val="00871DC0"/>
    <w:rsid w:val="00872512"/>
    <w:rsid w:val="00872949"/>
    <w:rsid w:val="00872BBF"/>
    <w:rsid w:val="00873EE6"/>
    <w:rsid w:val="00875D39"/>
    <w:rsid w:val="00876E49"/>
    <w:rsid w:val="00877167"/>
    <w:rsid w:val="0087781F"/>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862"/>
    <w:rsid w:val="008A2E6C"/>
    <w:rsid w:val="008A2F60"/>
    <w:rsid w:val="008A3DF9"/>
    <w:rsid w:val="008A547E"/>
    <w:rsid w:val="008A7254"/>
    <w:rsid w:val="008B0D56"/>
    <w:rsid w:val="008B1A8B"/>
    <w:rsid w:val="008B2CE0"/>
    <w:rsid w:val="008B2E67"/>
    <w:rsid w:val="008B3BD2"/>
    <w:rsid w:val="008B3C40"/>
    <w:rsid w:val="008B4A65"/>
    <w:rsid w:val="008B50DF"/>
    <w:rsid w:val="008B6162"/>
    <w:rsid w:val="008C04DF"/>
    <w:rsid w:val="008C1897"/>
    <w:rsid w:val="008C1971"/>
    <w:rsid w:val="008C3BC3"/>
    <w:rsid w:val="008C5399"/>
    <w:rsid w:val="008C644C"/>
    <w:rsid w:val="008C6827"/>
    <w:rsid w:val="008C6AC2"/>
    <w:rsid w:val="008C7098"/>
    <w:rsid w:val="008C798F"/>
    <w:rsid w:val="008D2147"/>
    <w:rsid w:val="008D2CAF"/>
    <w:rsid w:val="008D3ACE"/>
    <w:rsid w:val="008D3C0D"/>
    <w:rsid w:val="008D3C88"/>
    <w:rsid w:val="008D51CC"/>
    <w:rsid w:val="008D6C14"/>
    <w:rsid w:val="008D76C3"/>
    <w:rsid w:val="008D7A55"/>
    <w:rsid w:val="008E0BE2"/>
    <w:rsid w:val="008E31A9"/>
    <w:rsid w:val="008E4F95"/>
    <w:rsid w:val="008F1A30"/>
    <w:rsid w:val="008F1C6E"/>
    <w:rsid w:val="008F2E3D"/>
    <w:rsid w:val="008F4D52"/>
    <w:rsid w:val="008F4E41"/>
    <w:rsid w:val="008F6222"/>
    <w:rsid w:val="008F665E"/>
    <w:rsid w:val="008F7A00"/>
    <w:rsid w:val="009029B0"/>
    <w:rsid w:val="009039B0"/>
    <w:rsid w:val="0090408D"/>
    <w:rsid w:val="00904757"/>
    <w:rsid w:val="00904E6B"/>
    <w:rsid w:val="00904FCB"/>
    <w:rsid w:val="009056EC"/>
    <w:rsid w:val="00906EEC"/>
    <w:rsid w:val="009113C8"/>
    <w:rsid w:val="00913531"/>
    <w:rsid w:val="00914204"/>
    <w:rsid w:val="00914306"/>
    <w:rsid w:val="00915C7E"/>
    <w:rsid w:val="009166AF"/>
    <w:rsid w:val="00917862"/>
    <w:rsid w:val="00922606"/>
    <w:rsid w:val="00922D31"/>
    <w:rsid w:val="0092559F"/>
    <w:rsid w:val="00925C6F"/>
    <w:rsid w:val="00926081"/>
    <w:rsid w:val="00931141"/>
    <w:rsid w:val="009316EE"/>
    <w:rsid w:val="00932289"/>
    <w:rsid w:val="00932771"/>
    <w:rsid w:val="00935224"/>
    <w:rsid w:val="00935665"/>
    <w:rsid w:val="00935B30"/>
    <w:rsid w:val="00936A4E"/>
    <w:rsid w:val="009370ED"/>
    <w:rsid w:val="0094038F"/>
    <w:rsid w:val="00941580"/>
    <w:rsid w:val="00943006"/>
    <w:rsid w:val="00944E0C"/>
    <w:rsid w:val="00945998"/>
    <w:rsid w:val="00946C48"/>
    <w:rsid w:val="00946EFF"/>
    <w:rsid w:val="00946F6E"/>
    <w:rsid w:val="009474C2"/>
    <w:rsid w:val="00947A98"/>
    <w:rsid w:val="0095083A"/>
    <w:rsid w:val="00950D81"/>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70A6B"/>
    <w:rsid w:val="00971154"/>
    <w:rsid w:val="00972EC5"/>
    <w:rsid w:val="00973586"/>
    <w:rsid w:val="00973C29"/>
    <w:rsid w:val="009758E3"/>
    <w:rsid w:val="009763C4"/>
    <w:rsid w:val="00977A6B"/>
    <w:rsid w:val="009803F1"/>
    <w:rsid w:val="009807B4"/>
    <w:rsid w:val="00983DFB"/>
    <w:rsid w:val="009844F7"/>
    <w:rsid w:val="00985FE7"/>
    <w:rsid w:val="00986029"/>
    <w:rsid w:val="0099079E"/>
    <w:rsid w:val="00991F5D"/>
    <w:rsid w:val="0099281E"/>
    <w:rsid w:val="009930B9"/>
    <w:rsid w:val="009934E2"/>
    <w:rsid w:val="00995FFD"/>
    <w:rsid w:val="00996A15"/>
    <w:rsid w:val="009A2C08"/>
    <w:rsid w:val="009A35A6"/>
    <w:rsid w:val="009A45B0"/>
    <w:rsid w:val="009A5F58"/>
    <w:rsid w:val="009A6A6F"/>
    <w:rsid w:val="009B1AD4"/>
    <w:rsid w:val="009B1B69"/>
    <w:rsid w:val="009B1D67"/>
    <w:rsid w:val="009B5A67"/>
    <w:rsid w:val="009C0336"/>
    <w:rsid w:val="009C0DCE"/>
    <w:rsid w:val="009C137B"/>
    <w:rsid w:val="009C1772"/>
    <w:rsid w:val="009C17DA"/>
    <w:rsid w:val="009C470D"/>
    <w:rsid w:val="009C638B"/>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247B"/>
    <w:rsid w:val="009E36A5"/>
    <w:rsid w:val="009E41A0"/>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64F"/>
    <w:rsid w:val="00A12A7C"/>
    <w:rsid w:val="00A1330E"/>
    <w:rsid w:val="00A14F1F"/>
    <w:rsid w:val="00A15D7C"/>
    <w:rsid w:val="00A16688"/>
    <w:rsid w:val="00A1791D"/>
    <w:rsid w:val="00A203CB"/>
    <w:rsid w:val="00A22822"/>
    <w:rsid w:val="00A30B98"/>
    <w:rsid w:val="00A31884"/>
    <w:rsid w:val="00A34481"/>
    <w:rsid w:val="00A356F4"/>
    <w:rsid w:val="00A3768F"/>
    <w:rsid w:val="00A40131"/>
    <w:rsid w:val="00A402A1"/>
    <w:rsid w:val="00A41D8A"/>
    <w:rsid w:val="00A44175"/>
    <w:rsid w:val="00A44D8F"/>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4DC9"/>
    <w:rsid w:val="00A65280"/>
    <w:rsid w:val="00A65624"/>
    <w:rsid w:val="00A675BB"/>
    <w:rsid w:val="00A71EFB"/>
    <w:rsid w:val="00A743AB"/>
    <w:rsid w:val="00A77212"/>
    <w:rsid w:val="00A77C2C"/>
    <w:rsid w:val="00A80062"/>
    <w:rsid w:val="00A80F27"/>
    <w:rsid w:val="00A82683"/>
    <w:rsid w:val="00A82B55"/>
    <w:rsid w:val="00A82C68"/>
    <w:rsid w:val="00A856EB"/>
    <w:rsid w:val="00A875E3"/>
    <w:rsid w:val="00A87694"/>
    <w:rsid w:val="00A9022E"/>
    <w:rsid w:val="00A9079C"/>
    <w:rsid w:val="00A90C0D"/>
    <w:rsid w:val="00A90FFB"/>
    <w:rsid w:val="00A9209F"/>
    <w:rsid w:val="00A9235A"/>
    <w:rsid w:val="00A93E1B"/>
    <w:rsid w:val="00A94DD9"/>
    <w:rsid w:val="00A979B1"/>
    <w:rsid w:val="00AA0AD4"/>
    <w:rsid w:val="00AA1165"/>
    <w:rsid w:val="00AA3467"/>
    <w:rsid w:val="00AA3F31"/>
    <w:rsid w:val="00AA437A"/>
    <w:rsid w:val="00AA4625"/>
    <w:rsid w:val="00AA6BB6"/>
    <w:rsid w:val="00AA7D57"/>
    <w:rsid w:val="00AB02E9"/>
    <w:rsid w:val="00AB10EA"/>
    <w:rsid w:val="00AB16B3"/>
    <w:rsid w:val="00AB1F1A"/>
    <w:rsid w:val="00AB2EE7"/>
    <w:rsid w:val="00AB33AA"/>
    <w:rsid w:val="00AB3F0D"/>
    <w:rsid w:val="00AB4639"/>
    <w:rsid w:val="00AB5488"/>
    <w:rsid w:val="00AB6007"/>
    <w:rsid w:val="00AC00D2"/>
    <w:rsid w:val="00AC4F34"/>
    <w:rsid w:val="00AC50BC"/>
    <w:rsid w:val="00AC6104"/>
    <w:rsid w:val="00AC6EC2"/>
    <w:rsid w:val="00AC6FC6"/>
    <w:rsid w:val="00AD047A"/>
    <w:rsid w:val="00AD0DE9"/>
    <w:rsid w:val="00AD2971"/>
    <w:rsid w:val="00AD5FE2"/>
    <w:rsid w:val="00AE3756"/>
    <w:rsid w:val="00AE3A63"/>
    <w:rsid w:val="00AE4572"/>
    <w:rsid w:val="00AE53FF"/>
    <w:rsid w:val="00AE5435"/>
    <w:rsid w:val="00AE749F"/>
    <w:rsid w:val="00AE7DED"/>
    <w:rsid w:val="00AF2255"/>
    <w:rsid w:val="00AF3ABE"/>
    <w:rsid w:val="00AF5615"/>
    <w:rsid w:val="00AF6959"/>
    <w:rsid w:val="00AF7408"/>
    <w:rsid w:val="00AF7F9A"/>
    <w:rsid w:val="00B00520"/>
    <w:rsid w:val="00B00F8E"/>
    <w:rsid w:val="00B014D0"/>
    <w:rsid w:val="00B020E0"/>
    <w:rsid w:val="00B0226D"/>
    <w:rsid w:val="00B02CD1"/>
    <w:rsid w:val="00B03CB0"/>
    <w:rsid w:val="00B041A9"/>
    <w:rsid w:val="00B0465E"/>
    <w:rsid w:val="00B04F0C"/>
    <w:rsid w:val="00B06363"/>
    <w:rsid w:val="00B06BA8"/>
    <w:rsid w:val="00B07B44"/>
    <w:rsid w:val="00B07BE6"/>
    <w:rsid w:val="00B10A7B"/>
    <w:rsid w:val="00B10BBD"/>
    <w:rsid w:val="00B1199E"/>
    <w:rsid w:val="00B1218F"/>
    <w:rsid w:val="00B129B3"/>
    <w:rsid w:val="00B13262"/>
    <w:rsid w:val="00B1340D"/>
    <w:rsid w:val="00B135A4"/>
    <w:rsid w:val="00B13E3E"/>
    <w:rsid w:val="00B14AC6"/>
    <w:rsid w:val="00B14C20"/>
    <w:rsid w:val="00B14E56"/>
    <w:rsid w:val="00B16238"/>
    <w:rsid w:val="00B168B5"/>
    <w:rsid w:val="00B173B2"/>
    <w:rsid w:val="00B20164"/>
    <w:rsid w:val="00B202C7"/>
    <w:rsid w:val="00B2101D"/>
    <w:rsid w:val="00B210D6"/>
    <w:rsid w:val="00B23939"/>
    <w:rsid w:val="00B23F8B"/>
    <w:rsid w:val="00B259B3"/>
    <w:rsid w:val="00B25B73"/>
    <w:rsid w:val="00B276A4"/>
    <w:rsid w:val="00B27724"/>
    <w:rsid w:val="00B27905"/>
    <w:rsid w:val="00B30F3D"/>
    <w:rsid w:val="00B33EA5"/>
    <w:rsid w:val="00B33F5C"/>
    <w:rsid w:val="00B340AB"/>
    <w:rsid w:val="00B35F95"/>
    <w:rsid w:val="00B36B18"/>
    <w:rsid w:val="00B36C69"/>
    <w:rsid w:val="00B37938"/>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E35"/>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FBB"/>
    <w:rsid w:val="00B827FD"/>
    <w:rsid w:val="00B837C2"/>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2132"/>
    <w:rsid w:val="00BA22D3"/>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4389"/>
    <w:rsid w:val="00BB5F6F"/>
    <w:rsid w:val="00BB611F"/>
    <w:rsid w:val="00BB61BE"/>
    <w:rsid w:val="00BB64A9"/>
    <w:rsid w:val="00BB6B61"/>
    <w:rsid w:val="00BB76D3"/>
    <w:rsid w:val="00BC2797"/>
    <w:rsid w:val="00BC2DF0"/>
    <w:rsid w:val="00BC4227"/>
    <w:rsid w:val="00BC6EAE"/>
    <w:rsid w:val="00BC73E9"/>
    <w:rsid w:val="00BC76B1"/>
    <w:rsid w:val="00BD1366"/>
    <w:rsid w:val="00BD1656"/>
    <w:rsid w:val="00BD18CC"/>
    <w:rsid w:val="00BD29F5"/>
    <w:rsid w:val="00BD3419"/>
    <w:rsid w:val="00BD39EC"/>
    <w:rsid w:val="00BD43E5"/>
    <w:rsid w:val="00BD512A"/>
    <w:rsid w:val="00BD59E3"/>
    <w:rsid w:val="00BD672B"/>
    <w:rsid w:val="00BD7C76"/>
    <w:rsid w:val="00BD7FD7"/>
    <w:rsid w:val="00BE0315"/>
    <w:rsid w:val="00BE05F0"/>
    <w:rsid w:val="00BE08D5"/>
    <w:rsid w:val="00BE0D73"/>
    <w:rsid w:val="00BE1772"/>
    <w:rsid w:val="00BE1DEB"/>
    <w:rsid w:val="00BE44F2"/>
    <w:rsid w:val="00BF0E8E"/>
    <w:rsid w:val="00BF17C6"/>
    <w:rsid w:val="00BF1A7F"/>
    <w:rsid w:val="00BF5324"/>
    <w:rsid w:val="00BF5652"/>
    <w:rsid w:val="00BF577F"/>
    <w:rsid w:val="00BF5A3F"/>
    <w:rsid w:val="00BF7266"/>
    <w:rsid w:val="00BF7734"/>
    <w:rsid w:val="00C00F37"/>
    <w:rsid w:val="00C0247E"/>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17B48"/>
    <w:rsid w:val="00C20227"/>
    <w:rsid w:val="00C2039E"/>
    <w:rsid w:val="00C20514"/>
    <w:rsid w:val="00C21875"/>
    <w:rsid w:val="00C2265F"/>
    <w:rsid w:val="00C22916"/>
    <w:rsid w:val="00C229F8"/>
    <w:rsid w:val="00C22DD5"/>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1F2"/>
    <w:rsid w:val="00C46492"/>
    <w:rsid w:val="00C46F61"/>
    <w:rsid w:val="00C47BB2"/>
    <w:rsid w:val="00C50F0D"/>
    <w:rsid w:val="00C51C28"/>
    <w:rsid w:val="00C52DB8"/>
    <w:rsid w:val="00C53456"/>
    <w:rsid w:val="00C5397B"/>
    <w:rsid w:val="00C54A67"/>
    <w:rsid w:val="00C55CCA"/>
    <w:rsid w:val="00C55E36"/>
    <w:rsid w:val="00C60425"/>
    <w:rsid w:val="00C60C2D"/>
    <w:rsid w:val="00C61E0E"/>
    <w:rsid w:val="00C62E53"/>
    <w:rsid w:val="00C62FB0"/>
    <w:rsid w:val="00C671D2"/>
    <w:rsid w:val="00C67F26"/>
    <w:rsid w:val="00C70043"/>
    <w:rsid w:val="00C71EE7"/>
    <w:rsid w:val="00C72B5A"/>
    <w:rsid w:val="00C73861"/>
    <w:rsid w:val="00C7432C"/>
    <w:rsid w:val="00C75173"/>
    <w:rsid w:val="00C75791"/>
    <w:rsid w:val="00C76304"/>
    <w:rsid w:val="00C769B0"/>
    <w:rsid w:val="00C7762E"/>
    <w:rsid w:val="00C77AEC"/>
    <w:rsid w:val="00C807A2"/>
    <w:rsid w:val="00C84084"/>
    <w:rsid w:val="00C8471E"/>
    <w:rsid w:val="00C84955"/>
    <w:rsid w:val="00C86467"/>
    <w:rsid w:val="00C91A3F"/>
    <w:rsid w:val="00C92316"/>
    <w:rsid w:val="00C92547"/>
    <w:rsid w:val="00C95C72"/>
    <w:rsid w:val="00C962B5"/>
    <w:rsid w:val="00C96B86"/>
    <w:rsid w:val="00C97254"/>
    <w:rsid w:val="00C97DF7"/>
    <w:rsid w:val="00CA0AEE"/>
    <w:rsid w:val="00CA1A6A"/>
    <w:rsid w:val="00CA20A3"/>
    <w:rsid w:val="00CA2D5B"/>
    <w:rsid w:val="00CA3B64"/>
    <w:rsid w:val="00CA6108"/>
    <w:rsid w:val="00CA7A20"/>
    <w:rsid w:val="00CB21E2"/>
    <w:rsid w:val="00CB4E57"/>
    <w:rsid w:val="00CB6EAE"/>
    <w:rsid w:val="00CB7127"/>
    <w:rsid w:val="00CB766B"/>
    <w:rsid w:val="00CB7C04"/>
    <w:rsid w:val="00CB7E10"/>
    <w:rsid w:val="00CC0DEB"/>
    <w:rsid w:val="00CC1F0F"/>
    <w:rsid w:val="00CC2759"/>
    <w:rsid w:val="00CC356D"/>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B1F"/>
    <w:rsid w:val="00CE7F9D"/>
    <w:rsid w:val="00CF0DEC"/>
    <w:rsid w:val="00CF126F"/>
    <w:rsid w:val="00CF2BA1"/>
    <w:rsid w:val="00CF3ECF"/>
    <w:rsid w:val="00CF467E"/>
    <w:rsid w:val="00CF476A"/>
    <w:rsid w:val="00CF509A"/>
    <w:rsid w:val="00CF54F1"/>
    <w:rsid w:val="00CF5996"/>
    <w:rsid w:val="00CF643D"/>
    <w:rsid w:val="00CF7724"/>
    <w:rsid w:val="00D000EB"/>
    <w:rsid w:val="00D00862"/>
    <w:rsid w:val="00D00A5D"/>
    <w:rsid w:val="00D00A87"/>
    <w:rsid w:val="00D01045"/>
    <w:rsid w:val="00D02F2F"/>
    <w:rsid w:val="00D03329"/>
    <w:rsid w:val="00D04533"/>
    <w:rsid w:val="00D04940"/>
    <w:rsid w:val="00D054F2"/>
    <w:rsid w:val="00D05E5A"/>
    <w:rsid w:val="00D06535"/>
    <w:rsid w:val="00D07B0D"/>
    <w:rsid w:val="00D1160E"/>
    <w:rsid w:val="00D1305C"/>
    <w:rsid w:val="00D13087"/>
    <w:rsid w:val="00D13A97"/>
    <w:rsid w:val="00D16FA0"/>
    <w:rsid w:val="00D2017F"/>
    <w:rsid w:val="00D222F1"/>
    <w:rsid w:val="00D22940"/>
    <w:rsid w:val="00D23974"/>
    <w:rsid w:val="00D24E2E"/>
    <w:rsid w:val="00D2519A"/>
    <w:rsid w:val="00D25507"/>
    <w:rsid w:val="00D26DCE"/>
    <w:rsid w:val="00D27859"/>
    <w:rsid w:val="00D27A0C"/>
    <w:rsid w:val="00D27CE3"/>
    <w:rsid w:val="00D27DF5"/>
    <w:rsid w:val="00D311E0"/>
    <w:rsid w:val="00D3163F"/>
    <w:rsid w:val="00D32D5F"/>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3F6E"/>
    <w:rsid w:val="00D54174"/>
    <w:rsid w:val="00D548CF"/>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4118"/>
    <w:rsid w:val="00D74693"/>
    <w:rsid w:val="00D74696"/>
    <w:rsid w:val="00D75688"/>
    <w:rsid w:val="00D7589B"/>
    <w:rsid w:val="00D77465"/>
    <w:rsid w:val="00D80021"/>
    <w:rsid w:val="00D807E5"/>
    <w:rsid w:val="00D833BE"/>
    <w:rsid w:val="00D8724C"/>
    <w:rsid w:val="00D8796D"/>
    <w:rsid w:val="00D90A85"/>
    <w:rsid w:val="00D92936"/>
    <w:rsid w:val="00D938C1"/>
    <w:rsid w:val="00D96479"/>
    <w:rsid w:val="00DA05BF"/>
    <w:rsid w:val="00DA0C2C"/>
    <w:rsid w:val="00DA193F"/>
    <w:rsid w:val="00DA29C7"/>
    <w:rsid w:val="00DA386A"/>
    <w:rsid w:val="00DA47A8"/>
    <w:rsid w:val="00DB0BB5"/>
    <w:rsid w:val="00DB14DD"/>
    <w:rsid w:val="00DB1D21"/>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533"/>
    <w:rsid w:val="00DD369A"/>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80B"/>
    <w:rsid w:val="00DF28B7"/>
    <w:rsid w:val="00DF2EAD"/>
    <w:rsid w:val="00DF43E8"/>
    <w:rsid w:val="00DF4B3E"/>
    <w:rsid w:val="00DF5745"/>
    <w:rsid w:val="00DF68C0"/>
    <w:rsid w:val="00DF73BB"/>
    <w:rsid w:val="00DF791C"/>
    <w:rsid w:val="00DF7F5A"/>
    <w:rsid w:val="00E00303"/>
    <w:rsid w:val="00E0073A"/>
    <w:rsid w:val="00E00FFD"/>
    <w:rsid w:val="00E026FD"/>
    <w:rsid w:val="00E02AE7"/>
    <w:rsid w:val="00E04C02"/>
    <w:rsid w:val="00E04FBA"/>
    <w:rsid w:val="00E053B2"/>
    <w:rsid w:val="00E0644B"/>
    <w:rsid w:val="00E0799E"/>
    <w:rsid w:val="00E07B7D"/>
    <w:rsid w:val="00E1050F"/>
    <w:rsid w:val="00E11290"/>
    <w:rsid w:val="00E139D5"/>
    <w:rsid w:val="00E14CA5"/>
    <w:rsid w:val="00E152DF"/>
    <w:rsid w:val="00E17141"/>
    <w:rsid w:val="00E17D3D"/>
    <w:rsid w:val="00E21896"/>
    <w:rsid w:val="00E22D1B"/>
    <w:rsid w:val="00E2324A"/>
    <w:rsid w:val="00E235F5"/>
    <w:rsid w:val="00E23783"/>
    <w:rsid w:val="00E2401E"/>
    <w:rsid w:val="00E26411"/>
    <w:rsid w:val="00E264BC"/>
    <w:rsid w:val="00E2720A"/>
    <w:rsid w:val="00E307B6"/>
    <w:rsid w:val="00E316F5"/>
    <w:rsid w:val="00E339F2"/>
    <w:rsid w:val="00E37AE3"/>
    <w:rsid w:val="00E4154D"/>
    <w:rsid w:val="00E41AD6"/>
    <w:rsid w:val="00E42017"/>
    <w:rsid w:val="00E423E2"/>
    <w:rsid w:val="00E42730"/>
    <w:rsid w:val="00E440D0"/>
    <w:rsid w:val="00E45B52"/>
    <w:rsid w:val="00E46268"/>
    <w:rsid w:val="00E46C51"/>
    <w:rsid w:val="00E50772"/>
    <w:rsid w:val="00E50D89"/>
    <w:rsid w:val="00E545FA"/>
    <w:rsid w:val="00E546E8"/>
    <w:rsid w:val="00E55854"/>
    <w:rsid w:val="00E57279"/>
    <w:rsid w:val="00E60CA2"/>
    <w:rsid w:val="00E628AD"/>
    <w:rsid w:val="00E64339"/>
    <w:rsid w:val="00E656C5"/>
    <w:rsid w:val="00E66B76"/>
    <w:rsid w:val="00E67669"/>
    <w:rsid w:val="00E677BD"/>
    <w:rsid w:val="00E67AE7"/>
    <w:rsid w:val="00E70C34"/>
    <w:rsid w:val="00E70C44"/>
    <w:rsid w:val="00E72B6E"/>
    <w:rsid w:val="00E74BE2"/>
    <w:rsid w:val="00E75976"/>
    <w:rsid w:val="00E75E5C"/>
    <w:rsid w:val="00E80693"/>
    <w:rsid w:val="00E8357D"/>
    <w:rsid w:val="00E8373C"/>
    <w:rsid w:val="00E83FCE"/>
    <w:rsid w:val="00E846CA"/>
    <w:rsid w:val="00E85726"/>
    <w:rsid w:val="00E872A7"/>
    <w:rsid w:val="00E878CC"/>
    <w:rsid w:val="00E87EAD"/>
    <w:rsid w:val="00E923FD"/>
    <w:rsid w:val="00E924F7"/>
    <w:rsid w:val="00E94687"/>
    <w:rsid w:val="00E95DD9"/>
    <w:rsid w:val="00E9647F"/>
    <w:rsid w:val="00E96CB9"/>
    <w:rsid w:val="00E9721B"/>
    <w:rsid w:val="00EA1521"/>
    <w:rsid w:val="00EA19E9"/>
    <w:rsid w:val="00EA2418"/>
    <w:rsid w:val="00EA369D"/>
    <w:rsid w:val="00EA411E"/>
    <w:rsid w:val="00EA539E"/>
    <w:rsid w:val="00EA641F"/>
    <w:rsid w:val="00EA670C"/>
    <w:rsid w:val="00EA6A5A"/>
    <w:rsid w:val="00EB19E0"/>
    <w:rsid w:val="00EB42A7"/>
    <w:rsid w:val="00EB5649"/>
    <w:rsid w:val="00EB5A80"/>
    <w:rsid w:val="00EC07DD"/>
    <w:rsid w:val="00EC0D7C"/>
    <w:rsid w:val="00EC1115"/>
    <w:rsid w:val="00EC2131"/>
    <w:rsid w:val="00EC2591"/>
    <w:rsid w:val="00EC2F2F"/>
    <w:rsid w:val="00EC3652"/>
    <w:rsid w:val="00EC4915"/>
    <w:rsid w:val="00EC6D38"/>
    <w:rsid w:val="00EC7F14"/>
    <w:rsid w:val="00EC7FC4"/>
    <w:rsid w:val="00ED0190"/>
    <w:rsid w:val="00ED2B2B"/>
    <w:rsid w:val="00ED2EBD"/>
    <w:rsid w:val="00ED35A7"/>
    <w:rsid w:val="00ED3BB6"/>
    <w:rsid w:val="00ED450E"/>
    <w:rsid w:val="00ED473B"/>
    <w:rsid w:val="00EE1A88"/>
    <w:rsid w:val="00EE220A"/>
    <w:rsid w:val="00EE2853"/>
    <w:rsid w:val="00EE3012"/>
    <w:rsid w:val="00EE4A0C"/>
    <w:rsid w:val="00EE627B"/>
    <w:rsid w:val="00EE7A5E"/>
    <w:rsid w:val="00EF0DE4"/>
    <w:rsid w:val="00EF16CA"/>
    <w:rsid w:val="00EF1C9B"/>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3FE2"/>
    <w:rsid w:val="00F14D13"/>
    <w:rsid w:val="00F15AF3"/>
    <w:rsid w:val="00F16213"/>
    <w:rsid w:val="00F16672"/>
    <w:rsid w:val="00F16FDF"/>
    <w:rsid w:val="00F179D0"/>
    <w:rsid w:val="00F17DA4"/>
    <w:rsid w:val="00F17DCE"/>
    <w:rsid w:val="00F21BE9"/>
    <w:rsid w:val="00F22750"/>
    <w:rsid w:val="00F23455"/>
    <w:rsid w:val="00F23CA1"/>
    <w:rsid w:val="00F2401A"/>
    <w:rsid w:val="00F24B19"/>
    <w:rsid w:val="00F2646F"/>
    <w:rsid w:val="00F264A0"/>
    <w:rsid w:val="00F264E5"/>
    <w:rsid w:val="00F2696E"/>
    <w:rsid w:val="00F26ECD"/>
    <w:rsid w:val="00F2730C"/>
    <w:rsid w:val="00F27E65"/>
    <w:rsid w:val="00F34116"/>
    <w:rsid w:val="00F349D4"/>
    <w:rsid w:val="00F34C4A"/>
    <w:rsid w:val="00F35C3B"/>
    <w:rsid w:val="00F3697D"/>
    <w:rsid w:val="00F405C9"/>
    <w:rsid w:val="00F40A19"/>
    <w:rsid w:val="00F414CD"/>
    <w:rsid w:val="00F414F8"/>
    <w:rsid w:val="00F43AA9"/>
    <w:rsid w:val="00F43CA2"/>
    <w:rsid w:val="00F44435"/>
    <w:rsid w:val="00F44FA1"/>
    <w:rsid w:val="00F4645D"/>
    <w:rsid w:val="00F46639"/>
    <w:rsid w:val="00F46676"/>
    <w:rsid w:val="00F4749C"/>
    <w:rsid w:val="00F47626"/>
    <w:rsid w:val="00F47CAB"/>
    <w:rsid w:val="00F50275"/>
    <w:rsid w:val="00F505C7"/>
    <w:rsid w:val="00F505F4"/>
    <w:rsid w:val="00F51366"/>
    <w:rsid w:val="00F53109"/>
    <w:rsid w:val="00F53117"/>
    <w:rsid w:val="00F54824"/>
    <w:rsid w:val="00F55486"/>
    <w:rsid w:val="00F55B14"/>
    <w:rsid w:val="00F566F6"/>
    <w:rsid w:val="00F56CE1"/>
    <w:rsid w:val="00F57031"/>
    <w:rsid w:val="00F57532"/>
    <w:rsid w:val="00F6038F"/>
    <w:rsid w:val="00F6186F"/>
    <w:rsid w:val="00F62833"/>
    <w:rsid w:val="00F62B07"/>
    <w:rsid w:val="00F62D01"/>
    <w:rsid w:val="00F62EE5"/>
    <w:rsid w:val="00F63BB0"/>
    <w:rsid w:val="00F64C7D"/>
    <w:rsid w:val="00F66746"/>
    <w:rsid w:val="00F669C5"/>
    <w:rsid w:val="00F67F40"/>
    <w:rsid w:val="00F72DEA"/>
    <w:rsid w:val="00F75C20"/>
    <w:rsid w:val="00F76413"/>
    <w:rsid w:val="00F76F00"/>
    <w:rsid w:val="00F7731B"/>
    <w:rsid w:val="00F779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A0966"/>
    <w:rsid w:val="00FA1419"/>
    <w:rsid w:val="00FA208B"/>
    <w:rsid w:val="00FA267A"/>
    <w:rsid w:val="00FA280A"/>
    <w:rsid w:val="00FA368A"/>
    <w:rsid w:val="00FA4C90"/>
    <w:rsid w:val="00FA4EEC"/>
    <w:rsid w:val="00FA5127"/>
    <w:rsid w:val="00FA6905"/>
    <w:rsid w:val="00FA7A01"/>
    <w:rsid w:val="00FB03E9"/>
    <w:rsid w:val="00FB28CB"/>
    <w:rsid w:val="00FB4456"/>
    <w:rsid w:val="00FB5D74"/>
    <w:rsid w:val="00FB5F5C"/>
    <w:rsid w:val="00FB6220"/>
    <w:rsid w:val="00FB6D84"/>
    <w:rsid w:val="00FB75FC"/>
    <w:rsid w:val="00FC1093"/>
    <w:rsid w:val="00FC1673"/>
    <w:rsid w:val="00FC3A0E"/>
    <w:rsid w:val="00FC65A3"/>
    <w:rsid w:val="00FC6CBD"/>
    <w:rsid w:val="00FD046D"/>
    <w:rsid w:val="00FD0A3A"/>
    <w:rsid w:val="00FD14BA"/>
    <w:rsid w:val="00FD16AF"/>
    <w:rsid w:val="00FD1F4D"/>
    <w:rsid w:val="00FD28C6"/>
    <w:rsid w:val="00FD2A3E"/>
    <w:rsid w:val="00FD496E"/>
    <w:rsid w:val="00FD5091"/>
    <w:rsid w:val="00FD6FFE"/>
    <w:rsid w:val="00FD7077"/>
    <w:rsid w:val="00FE1050"/>
    <w:rsid w:val="00FE116B"/>
    <w:rsid w:val="00FE2700"/>
    <w:rsid w:val="00FE3887"/>
    <w:rsid w:val="00FE3BFD"/>
    <w:rsid w:val="00FE41B2"/>
    <w:rsid w:val="00FE42BA"/>
    <w:rsid w:val="00FE5BBC"/>
    <w:rsid w:val="00FE5DEC"/>
    <w:rsid w:val="00FE6509"/>
    <w:rsid w:val="00FE69B0"/>
    <w:rsid w:val="00FE77ED"/>
    <w:rsid w:val="00FF1B0B"/>
    <w:rsid w:val="00FF3EF8"/>
    <w:rsid w:val="00FF507F"/>
    <w:rsid w:val="00FF634E"/>
    <w:rsid w:val="00FF649E"/>
    <w:rsid w:val="00FF6FE3"/>
    <w:rsid w:val="0162478E"/>
    <w:rsid w:val="05B482E3"/>
    <w:rsid w:val="062645AF"/>
    <w:rsid w:val="0BCF2FCF"/>
    <w:rsid w:val="0BCF3AE3"/>
    <w:rsid w:val="0F5655E6"/>
    <w:rsid w:val="11041DAD"/>
    <w:rsid w:val="14A4228F"/>
    <w:rsid w:val="14D474CB"/>
    <w:rsid w:val="1AE516DD"/>
    <w:rsid w:val="1C9B0F9A"/>
    <w:rsid w:val="1D38DAFD"/>
    <w:rsid w:val="1F5A65E1"/>
    <w:rsid w:val="22A83E5D"/>
    <w:rsid w:val="23272055"/>
    <w:rsid w:val="260711C9"/>
    <w:rsid w:val="2657C157"/>
    <w:rsid w:val="2AEA004D"/>
    <w:rsid w:val="2CC43014"/>
    <w:rsid w:val="352728E5"/>
    <w:rsid w:val="390C2635"/>
    <w:rsid w:val="46612C97"/>
    <w:rsid w:val="4BE04D3F"/>
    <w:rsid w:val="52D77371"/>
    <w:rsid w:val="52E43A8D"/>
    <w:rsid w:val="53407208"/>
    <w:rsid w:val="54D23023"/>
    <w:rsid w:val="563E3E51"/>
    <w:rsid w:val="58ED34F0"/>
    <w:rsid w:val="5BDD303B"/>
    <w:rsid w:val="68355785"/>
    <w:rsid w:val="683E085C"/>
    <w:rsid w:val="6E9858D8"/>
    <w:rsid w:val="70881D71"/>
    <w:rsid w:val="724B2FE2"/>
    <w:rsid w:val="730741E6"/>
    <w:rsid w:val="790C0511"/>
    <w:rsid w:val="7F830A5C"/>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34" w:semiHidden="0" w:name="List Paragraph"/>
    <w:lsdException w:qFormat="1" w:unhideWhenUsed="0" w:uiPriority="0" w:semiHidden="0" w:name="Quote"/>
  </w:latentStyles>
  <w:style w:type="paragraph" w:default="1" w:styleId="1">
    <w:name w:val="Normal"/>
    <w:qFormat/>
    <w:uiPriority w:val="0"/>
    <w:rPr>
      <w:rFonts w:ascii="Arial" w:hAnsi="Arial" w:eastAsia="Times New Roman" w:cs="Tahoma"/>
      <w:szCs w:val="24"/>
      <w:lang w:val="pt-BR" w:eastAsia="pt-BR" w:bidi="ar-SA"/>
    </w:rPr>
  </w:style>
  <w:style w:type="paragraph" w:styleId="2">
    <w:name w:val="heading 1"/>
    <w:basedOn w:val="1"/>
    <w:next w:val="1"/>
    <w:link w:val="40"/>
    <w:qFormat/>
    <w:uiPriority w:val="0"/>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3"/>
    <w:qFormat/>
    <w:uiPriority w:val="0"/>
    <w:pPr>
      <w:keepNext/>
      <w:tabs>
        <w:tab w:val="left" w:pos="1701"/>
      </w:tabs>
      <w:ind w:right="-1"/>
      <w:jc w:val="center"/>
      <w:outlineLvl w:val="1"/>
    </w:pPr>
    <w:rPr>
      <w:rFonts w:ascii="Times New Roman" w:hAnsi="Times New Roman" w:cs="Times New Roman"/>
      <w:b/>
      <w:color w:val="000000"/>
      <w:szCs w:val="20"/>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kern w:val="0"/>
      <w:sz w:val="26"/>
      <w:szCs w:val="26"/>
      <w:lang w:val="en-US" w:eastAsia="zh-CN" w:bidi="ar"/>
    </w:rPr>
  </w:style>
  <w:style w:type="character" w:default="1" w:styleId="13">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58"/>
    <w:unhideWhenUsed/>
    <w:qFormat/>
    <w:uiPriority w:val="99"/>
    <w:pPr>
      <w:spacing w:before="100" w:beforeAutospacing="1" w:after="100" w:afterAutospacing="1"/>
    </w:pPr>
    <w:rPr>
      <w:rFonts w:ascii="Times New Roman" w:hAnsi="Times New Roman" w:cs="Times New Roman"/>
      <w:sz w:val="24"/>
    </w:rPr>
  </w:style>
  <w:style w:type="paragraph" w:styleId="6">
    <w:name w:val="annotation text"/>
    <w:basedOn w:val="1"/>
    <w:link w:val="36"/>
    <w:unhideWhenUsed/>
    <w:qFormat/>
    <w:uiPriority w:val="99"/>
    <w:rPr>
      <w:szCs w:val="20"/>
    </w:rPr>
  </w:style>
  <w:style w:type="paragraph" w:styleId="7">
    <w:name w:val="List Bullet 5"/>
    <w:basedOn w:val="1"/>
    <w:qFormat/>
    <w:uiPriority w:val="0"/>
    <w:pPr>
      <w:numPr>
        <w:ilvl w:val="0"/>
        <w:numId w:val="1"/>
      </w:numPr>
      <w:contextualSpacing/>
    </w:pPr>
  </w:style>
  <w:style w:type="paragraph" w:styleId="8">
    <w:name w:val="Normal (Web)"/>
    <w:basedOn w:val="1"/>
    <w:qFormat/>
    <w:uiPriority w:val="99"/>
    <w:pPr>
      <w:spacing w:before="100" w:beforeAutospacing="1" w:after="100" w:afterAutospacing="1"/>
    </w:pPr>
    <w:rPr>
      <w:rFonts w:ascii="Times New Roman" w:hAnsi="Times New Roman" w:cs="Times New Roman"/>
    </w:rPr>
  </w:style>
  <w:style w:type="paragraph" w:styleId="9">
    <w:name w:val="header"/>
    <w:basedOn w:val="1"/>
    <w:link w:val="31"/>
    <w:qFormat/>
    <w:uiPriority w:val="0"/>
    <w:pPr>
      <w:tabs>
        <w:tab w:val="center" w:pos="4252"/>
        <w:tab w:val="right" w:pos="8504"/>
      </w:tabs>
    </w:pPr>
  </w:style>
  <w:style w:type="paragraph" w:styleId="10">
    <w:name w:val="annotation subject"/>
    <w:basedOn w:val="6"/>
    <w:next w:val="6"/>
    <w:link w:val="37"/>
    <w:semiHidden/>
    <w:unhideWhenUsed/>
    <w:qFormat/>
    <w:uiPriority w:val="0"/>
    <w:rPr>
      <w:b/>
      <w:bCs/>
    </w:rPr>
  </w:style>
  <w:style w:type="paragraph" w:styleId="11">
    <w:name w:val="footer"/>
    <w:basedOn w:val="1"/>
    <w:link w:val="32"/>
    <w:qFormat/>
    <w:uiPriority w:val="99"/>
    <w:pPr>
      <w:tabs>
        <w:tab w:val="center" w:pos="4252"/>
        <w:tab w:val="right" w:pos="8504"/>
      </w:tabs>
    </w:pPr>
  </w:style>
  <w:style w:type="paragraph" w:styleId="12">
    <w:name w:val="Balloon Text"/>
    <w:basedOn w:val="1"/>
    <w:link w:val="22"/>
    <w:qFormat/>
    <w:uiPriority w:val="99"/>
    <w:rPr>
      <w:rFonts w:ascii="Tahoma" w:hAnsi="Tahoma"/>
      <w:sz w:val="16"/>
      <w:szCs w:val="16"/>
    </w:rPr>
  </w:style>
  <w:style w:type="character" w:styleId="14">
    <w:name w:val="Strong"/>
    <w:basedOn w:val="13"/>
    <w:qFormat/>
    <w:uiPriority w:val="22"/>
    <w:rPr>
      <w:b/>
      <w:bCs/>
    </w:rPr>
  </w:style>
  <w:style w:type="character" w:styleId="15">
    <w:name w:val="annotation reference"/>
    <w:basedOn w:val="13"/>
    <w:unhideWhenUsed/>
    <w:qFormat/>
    <w:uiPriority w:val="99"/>
    <w:rPr>
      <w:sz w:val="16"/>
      <w:szCs w:val="16"/>
    </w:rPr>
  </w:style>
  <w:style w:type="character" w:styleId="16">
    <w:name w:val="FollowedHyperlink"/>
    <w:basedOn w:val="13"/>
    <w:semiHidden/>
    <w:unhideWhenUsed/>
    <w:qFormat/>
    <w:uiPriority w:val="0"/>
    <w:rPr>
      <w:color w:val="800080" w:themeColor="followedHyperlink"/>
      <w:u w:val="single"/>
      <w14:textFill>
        <w14:solidFill>
          <w14:schemeClr w14:val="folHlink"/>
        </w14:solidFill>
      </w14:textFill>
    </w:rPr>
  </w:style>
  <w:style w:type="character" w:styleId="17">
    <w:name w:val="Emphasis"/>
    <w:basedOn w:val="13"/>
    <w:qFormat/>
    <w:uiPriority w:val="0"/>
    <w:rPr>
      <w:i/>
      <w:iCs/>
    </w:rPr>
  </w:style>
  <w:style w:type="character" w:styleId="18">
    <w:name w:val="Hyperlink"/>
    <w:basedOn w:val="13"/>
    <w:qFormat/>
    <w:uiPriority w:val="0"/>
    <w:rPr>
      <w:color w:val="000080"/>
      <w:u w:val="single"/>
    </w:rPr>
  </w:style>
  <w:style w:type="table" w:styleId="20">
    <w:name w:val="Table Grid"/>
    <w:basedOn w:val="19"/>
    <w:qFormat/>
    <w:uiPriority w:val="0"/>
    <w:rPr>
      <w:rFonts w:eastAsiaTheme="minorEastAsia"/>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34"/>
    <w:pPr>
      <w:ind w:left="720"/>
      <w:contextualSpacing/>
    </w:pPr>
  </w:style>
  <w:style w:type="character" w:customStyle="1" w:styleId="22">
    <w:name w:val="Texto de balão Char"/>
    <w:link w:val="12"/>
    <w:qFormat/>
    <w:uiPriority w:val="99"/>
    <w:rPr>
      <w:rFonts w:ascii="Tahoma" w:hAnsi="Tahoma" w:cs="Tahoma"/>
      <w:sz w:val="16"/>
      <w:szCs w:val="16"/>
    </w:rPr>
  </w:style>
  <w:style w:type="character" w:customStyle="1" w:styleId="23">
    <w:name w:val="Título 2 Char"/>
    <w:link w:val="3"/>
    <w:qFormat/>
    <w:uiPriority w:val="0"/>
    <w:rPr>
      <w:b/>
      <w:color w:val="000000"/>
      <w:sz w:val="24"/>
    </w:rPr>
  </w:style>
  <w:style w:type="paragraph" w:customStyle="1" w:styleId="24">
    <w:name w:val="Nível 2"/>
    <w:basedOn w:val="1"/>
    <w:next w:val="1"/>
    <w:qFormat/>
    <w:uiPriority w:val="0"/>
    <w:pPr>
      <w:spacing w:after="120"/>
      <w:jc w:val="both"/>
    </w:pPr>
    <w:rPr>
      <w:rFonts w:cs="Times New Roman"/>
      <w:b/>
      <w:szCs w:val="20"/>
    </w:rPr>
  </w:style>
  <w:style w:type="character" w:customStyle="1" w:styleId="25">
    <w:name w:val="normal__char1"/>
    <w:qFormat/>
    <w:uiPriority w:val="0"/>
    <w:rPr>
      <w:rFonts w:hint="default" w:ascii="Arial" w:hAnsi="Arial" w:cs="Arial"/>
      <w:sz w:val="24"/>
      <w:szCs w:val="24"/>
      <w:u w:val="none"/>
    </w:rPr>
  </w:style>
  <w:style w:type="character" w:customStyle="1" w:styleId="26">
    <w:name w:val="apple-style-span"/>
    <w:basedOn w:val="13"/>
    <w:qFormat/>
    <w:uiPriority w:val="0"/>
  </w:style>
  <w:style w:type="paragraph" w:styleId="27">
    <w:name w:val="Quote"/>
    <w:basedOn w:val="1"/>
    <w:next w:val="1"/>
    <w:link w:val="28"/>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lang w:eastAsia="en-US"/>
    </w:rPr>
  </w:style>
  <w:style w:type="character" w:customStyle="1" w:styleId="28">
    <w:name w:val="Citação Char"/>
    <w:link w:val="27"/>
    <w:qFormat/>
    <w:uiPriority w:val="0"/>
    <w:rPr>
      <w:rFonts w:ascii="Arial" w:hAnsi="Arial" w:eastAsia="Calibri" w:cs="Tahoma"/>
      <w:i/>
      <w:iCs/>
      <w:color w:val="000000"/>
      <w:szCs w:val="24"/>
      <w:shd w:val="clear" w:color="auto" w:fill="FFFFCC"/>
      <w:lang w:eastAsia="en-US"/>
    </w:rPr>
  </w:style>
  <w:style w:type="paragraph" w:customStyle="1" w:styleId="29">
    <w:name w:val="citação 2"/>
    <w:basedOn w:val="27"/>
    <w:link w:val="30"/>
    <w:qFormat/>
    <w:uiPriority w:val="0"/>
    <w:rPr>
      <w:szCs w:val="20"/>
    </w:rPr>
  </w:style>
  <w:style w:type="character" w:customStyle="1" w:styleId="30">
    <w:name w:val="citação 2 Char"/>
    <w:basedOn w:val="28"/>
    <w:link w:val="29"/>
    <w:qFormat/>
    <w:uiPriority w:val="0"/>
    <w:rPr>
      <w:rFonts w:ascii="Arial" w:hAnsi="Arial" w:eastAsia="Calibri" w:cs="Tahoma"/>
      <w:color w:val="000000"/>
      <w:szCs w:val="24"/>
      <w:shd w:val="clear" w:color="auto" w:fill="FFFFCC"/>
      <w:lang w:eastAsia="en-US"/>
    </w:rPr>
  </w:style>
  <w:style w:type="character" w:customStyle="1" w:styleId="31">
    <w:name w:val="Cabeçalho Char"/>
    <w:link w:val="9"/>
    <w:qFormat/>
    <w:uiPriority w:val="0"/>
    <w:rPr>
      <w:rFonts w:ascii="Ecofont_Spranq_eco_Sans" w:hAnsi="Ecofont_Spranq_eco_Sans" w:cs="Tahoma"/>
      <w:sz w:val="24"/>
      <w:szCs w:val="24"/>
    </w:rPr>
  </w:style>
  <w:style w:type="character" w:customStyle="1" w:styleId="32">
    <w:name w:val="Rodapé Char"/>
    <w:link w:val="11"/>
    <w:qFormat/>
    <w:uiPriority w:val="99"/>
    <w:rPr>
      <w:rFonts w:ascii="Ecofont_Spranq_eco_Sans" w:hAnsi="Ecofont_Spranq_eco_Sans" w:cs="Tahoma"/>
      <w:sz w:val="24"/>
      <w:szCs w:val="24"/>
    </w:rPr>
  </w:style>
  <w:style w:type="paragraph" w:customStyle="1" w:styleId="33">
    <w:name w:val="em_0020ementa"/>
    <w:basedOn w:val="1"/>
    <w:qFormat/>
    <w:uiPriority w:val="0"/>
    <w:pPr>
      <w:ind w:left="4160"/>
      <w:jc w:val="both"/>
    </w:pPr>
    <w:rPr>
      <w:rFonts w:ascii="Times New Roman" w:hAnsi="Times New Roman" w:cs="Times New Roman"/>
      <w:sz w:val="28"/>
      <w:szCs w:val="28"/>
    </w:rPr>
  </w:style>
  <w:style w:type="character" w:customStyle="1" w:styleId="34">
    <w:name w:val="cp_0020corpodespacho__char1"/>
    <w:qFormat/>
    <w:uiPriority w:val="0"/>
    <w:rPr>
      <w:rFonts w:hint="default" w:ascii="Times New Roman" w:hAnsi="Times New Roman" w:cs="Times New Roman"/>
      <w:sz w:val="26"/>
      <w:szCs w:val="26"/>
      <w:u w:val="none"/>
    </w:rPr>
  </w:style>
  <w:style w:type="character" w:customStyle="1" w:styleId="35">
    <w:name w:val="em_0020ementa__char1"/>
    <w:qFormat/>
    <w:uiPriority w:val="0"/>
    <w:rPr>
      <w:rFonts w:hint="default" w:ascii="Times New Roman" w:hAnsi="Times New Roman" w:cs="Times New Roman"/>
      <w:sz w:val="28"/>
      <w:szCs w:val="28"/>
      <w:u w:val="none"/>
    </w:rPr>
  </w:style>
  <w:style w:type="character" w:customStyle="1" w:styleId="36">
    <w:name w:val="Texto de comentário Char"/>
    <w:basedOn w:val="13"/>
    <w:link w:val="6"/>
    <w:qFormat/>
    <w:uiPriority w:val="99"/>
    <w:rPr>
      <w:rFonts w:ascii="Ecofont_Spranq_eco_Sans" w:hAnsi="Ecofont_Spranq_eco_Sans" w:cs="Tahoma"/>
    </w:rPr>
  </w:style>
  <w:style w:type="character" w:customStyle="1" w:styleId="37">
    <w:name w:val="Assunto do comentário Char"/>
    <w:basedOn w:val="36"/>
    <w:link w:val="10"/>
    <w:semiHidden/>
    <w:qFormat/>
    <w:uiPriority w:val="0"/>
    <w:rPr>
      <w:rFonts w:ascii="Ecofont_Spranq_eco_Sans" w:hAnsi="Ecofont_Spranq_eco_Sans" w:cs="Tahoma"/>
      <w:b/>
      <w:bCs/>
    </w:rPr>
  </w:style>
  <w:style w:type="paragraph" w:customStyle="1" w:styleId="38">
    <w:name w:val="Revision"/>
    <w:hidden/>
    <w:semiHidden/>
    <w:qFormat/>
    <w:uiPriority w:val="99"/>
    <w:rPr>
      <w:rFonts w:ascii="Ecofont_Spranq_eco_Sans" w:hAnsi="Ecofont_Spranq_eco_Sans" w:eastAsia="Times New Roman" w:cs="Tahoma"/>
      <w:sz w:val="24"/>
      <w:szCs w:val="24"/>
      <w:lang w:val="pt-BR" w:eastAsia="pt-BR" w:bidi="ar-SA"/>
    </w:rPr>
  </w:style>
  <w:style w:type="paragraph" w:customStyle="1" w:styleId="39">
    <w:name w:val="Nivel 01"/>
    <w:basedOn w:val="2"/>
    <w:next w:val="1"/>
    <w:link w:val="41"/>
    <w:qFormat/>
    <w:uiPriority w:val="0"/>
    <w:pPr>
      <w:numPr>
        <w:ilvl w:val="0"/>
        <w:numId w:val="2"/>
      </w:numPr>
      <w:spacing w:after="120" w:line="276" w:lineRule="auto"/>
      <w:ind w:right="-15"/>
      <w:jc w:val="both"/>
    </w:pPr>
    <w:rPr>
      <w:rFonts w:ascii="Arial" w:hAnsi="Arial" w:cs="Times New Roman"/>
      <w:color w:val="000000"/>
      <w:sz w:val="20"/>
      <w:szCs w:val="20"/>
    </w:rPr>
  </w:style>
  <w:style w:type="character" w:customStyle="1" w:styleId="40">
    <w:name w:val="Título 1 Char"/>
    <w:basedOn w:val="13"/>
    <w:link w:val="2"/>
    <w:qFormat/>
    <w:uiPriority w:val="0"/>
    <w:rPr>
      <w:rFonts w:asciiTheme="majorHAnsi" w:hAnsiTheme="majorHAnsi" w:eastAsiaTheme="majorEastAsia" w:cstheme="majorBidi"/>
      <w:b/>
      <w:bCs/>
      <w:color w:val="376092" w:themeColor="accent1" w:themeShade="BF"/>
      <w:sz w:val="28"/>
      <w:szCs w:val="28"/>
    </w:rPr>
  </w:style>
  <w:style w:type="character" w:customStyle="1" w:styleId="41">
    <w:name w:val="Nivel 01 Char"/>
    <w:basedOn w:val="40"/>
    <w:link w:val="39"/>
    <w:qFormat/>
    <w:uiPriority w:val="0"/>
    <w:rPr>
      <w:rFonts w:ascii="Arial" w:hAnsi="Arial" w:eastAsiaTheme="majorEastAsia" w:cstheme="majorBidi"/>
      <w:color w:val="000000"/>
      <w:sz w:val="28"/>
      <w:szCs w:val="28"/>
    </w:rPr>
  </w:style>
  <w:style w:type="paragraph" w:customStyle="1" w:styleId="42">
    <w:name w:val="Nivel1"/>
    <w:basedOn w:val="2"/>
    <w:link w:val="63"/>
    <w:qFormat/>
    <w:uiPriority w:val="0"/>
    <w:pPr>
      <w:spacing w:line="276" w:lineRule="auto"/>
      <w:ind w:left="357" w:hanging="357"/>
      <w:jc w:val="both"/>
    </w:pPr>
    <w:rPr>
      <w:rFonts w:ascii="Arial" w:hAnsi="Arial" w:cs="Arial"/>
      <w:bCs w:val="0"/>
      <w:color w:val="000000"/>
      <w:sz w:val="20"/>
      <w:szCs w:val="20"/>
    </w:rPr>
  </w:style>
  <w:style w:type="paragraph" w:customStyle="1" w:styleId="43">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val="pt-BR" w:eastAsia="zh-CN" w:bidi="hi-IN"/>
    </w:rPr>
  </w:style>
  <w:style w:type="paragraph" w:customStyle="1" w:styleId="44">
    <w:name w:val="paragraph"/>
    <w:basedOn w:val="1"/>
    <w:qFormat/>
    <w:uiPriority w:val="0"/>
    <w:pPr>
      <w:spacing w:before="100" w:beforeAutospacing="1" w:after="100" w:afterAutospacing="1"/>
    </w:pPr>
    <w:rPr>
      <w:rFonts w:ascii="Times New Roman" w:hAnsi="Times New Roman" w:cs="Times New Roman"/>
      <w:sz w:val="24"/>
    </w:rPr>
  </w:style>
  <w:style w:type="character" w:customStyle="1" w:styleId="45">
    <w:name w:val="normaltextrun"/>
    <w:basedOn w:val="13"/>
    <w:qFormat/>
    <w:uiPriority w:val="0"/>
  </w:style>
  <w:style w:type="character" w:customStyle="1" w:styleId="46">
    <w:name w:val="eop"/>
    <w:basedOn w:val="13"/>
    <w:qFormat/>
    <w:uiPriority w:val="0"/>
  </w:style>
  <w:style w:type="character" w:customStyle="1" w:styleId="47">
    <w:name w:val="spellingerror"/>
    <w:basedOn w:val="13"/>
    <w:qFormat/>
    <w:uiPriority w:val="0"/>
  </w:style>
  <w:style w:type="character" w:customStyle="1" w:styleId="48">
    <w:name w:val="Quote Char"/>
    <w:basedOn w:val="13"/>
    <w:link w:val="49"/>
    <w:qFormat/>
    <w:uiPriority w:val="0"/>
    <w:rPr>
      <w:rFonts w:ascii="Ecofont_Spranq_eco_Sans" w:hAnsi="Ecofont_Spranq_eco_Sans" w:eastAsia="Calibri" w:cs="Tahoma"/>
      <w:i/>
      <w:iCs/>
      <w:color w:val="000000"/>
      <w:shd w:val="clear" w:color="auto" w:fill="FFFFCC"/>
      <w:lang w:eastAsia="en-US"/>
    </w:rPr>
  </w:style>
  <w:style w:type="paragraph" w:customStyle="1" w:styleId="49">
    <w:name w:val="Citação1"/>
    <w:basedOn w:val="1"/>
    <w:next w:val="1"/>
    <w:link w:val="48"/>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i/>
      <w:iCs/>
      <w:color w:val="000000"/>
      <w:szCs w:val="20"/>
      <w:lang w:eastAsia="en-US"/>
    </w:rPr>
  </w:style>
  <w:style w:type="character" w:customStyle="1" w:styleId="50">
    <w:name w:val="Manoel"/>
    <w:qFormat/>
    <w:uiPriority w:val="0"/>
    <w:rPr>
      <w:rFonts w:ascii="Arial" w:hAnsi="Arial" w:cs="Arial"/>
      <w:color w:val="7030A0"/>
      <w:sz w:val="20"/>
    </w:rPr>
  </w:style>
  <w:style w:type="character" w:customStyle="1" w:styleId="51">
    <w:name w:val="ListLabel 12"/>
    <w:qFormat/>
    <w:uiPriority w:val="0"/>
    <w:rPr>
      <w:b/>
    </w:rPr>
  </w:style>
  <w:style w:type="paragraph" w:customStyle="1" w:styleId="52">
    <w:name w:val="texto1"/>
    <w:basedOn w:val="1"/>
    <w:qFormat/>
    <w:uiPriority w:val="0"/>
    <w:pPr>
      <w:spacing w:before="100" w:beforeAutospacing="1" w:after="100" w:afterAutospacing="1"/>
    </w:pPr>
    <w:rPr>
      <w:rFonts w:ascii="Times New Roman" w:hAnsi="Times New Roman" w:cs="Times New Roman"/>
      <w:sz w:val="24"/>
    </w:rPr>
  </w:style>
  <w:style w:type="paragraph" w:customStyle="1" w:styleId="53">
    <w:name w:val="Grade Colorida - Ênfase 11"/>
    <w:basedOn w:val="1"/>
    <w:next w:val="1"/>
    <w:link w:val="54"/>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cs="Times New Roman"/>
      <w:i/>
      <w:iCs/>
      <w:color w:val="000000"/>
      <w:lang w:eastAsia="en-US"/>
    </w:rPr>
  </w:style>
  <w:style w:type="character" w:customStyle="1" w:styleId="54">
    <w:name w:val="Grade Colorida - Ênfase 1 Char"/>
    <w:link w:val="53"/>
    <w:qFormat/>
    <w:uiPriority w:val="29"/>
    <w:rPr>
      <w:rFonts w:ascii="Arial" w:hAnsi="Arial" w:eastAsia="Calibri"/>
      <w:i/>
      <w:iCs/>
      <w:color w:val="000000"/>
      <w:szCs w:val="24"/>
      <w:shd w:val="clear" w:color="auto" w:fill="FFFFCC"/>
      <w:lang w:eastAsia="en-US"/>
    </w:rPr>
  </w:style>
  <w:style w:type="paragraph" w:customStyle="1" w:styleId="55">
    <w:name w:val="x_western"/>
    <w:basedOn w:val="1"/>
    <w:qFormat/>
    <w:uiPriority w:val="0"/>
    <w:pPr>
      <w:spacing w:before="100" w:beforeAutospacing="1" w:after="100" w:afterAutospacing="1"/>
    </w:pPr>
    <w:rPr>
      <w:rFonts w:ascii="Times New Roman" w:hAnsi="Times New Roman" w:cs="Times New Roman"/>
      <w:sz w:val="24"/>
    </w:rPr>
  </w:style>
  <w:style w:type="paragraph" w:customStyle="1" w:styleId="56">
    <w:name w:val="TCU - Ac - item 9 - §§_0"/>
    <w:basedOn w:val="1"/>
    <w:qFormat/>
    <w:uiPriority w:val="0"/>
    <w:pPr>
      <w:ind w:firstLine="1134"/>
      <w:jc w:val="both"/>
    </w:pPr>
    <w:rPr>
      <w:rFonts w:ascii="Times New Roman" w:hAnsi="Times New Roman" w:cs="Times New Roman"/>
      <w:sz w:val="24"/>
      <w:szCs w:val="22"/>
      <w:lang w:eastAsia="en-US"/>
    </w:rPr>
  </w:style>
  <w:style w:type="paragraph" w:customStyle="1" w:styleId="57">
    <w:name w:val="Normal_1"/>
    <w:qFormat/>
    <w:uiPriority w:val="0"/>
    <w:rPr>
      <w:rFonts w:ascii="Times New Roman" w:hAnsi="Times New Roman" w:eastAsia="Times New Roman" w:cs="Times New Roman"/>
      <w:sz w:val="24"/>
      <w:szCs w:val="22"/>
      <w:lang w:val="pt-BR" w:eastAsia="en-US" w:bidi="ar-SA"/>
    </w:rPr>
  </w:style>
  <w:style w:type="character" w:customStyle="1" w:styleId="58">
    <w:name w:val="Corpo de texto Char"/>
    <w:basedOn w:val="13"/>
    <w:link w:val="5"/>
    <w:qFormat/>
    <w:uiPriority w:val="99"/>
    <w:rPr>
      <w:sz w:val="24"/>
      <w:szCs w:val="24"/>
    </w:rPr>
  </w:style>
  <w:style w:type="paragraph" w:customStyle="1" w:styleId="59">
    <w:name w:val="tcu_-__ac_-_item_9_-_1ª_linha"/>
    <w:basedOn w:val="1"/>
    <w:qFormat/>
    <w:uiPriority w:val="0"/>
    <w:pPr>
      <w:spacing w:before="100" w:beforeAutospacing="1" w:after="100" w:afterAutospacing="1"/>
    </w:pPr>
    <w:rPr>
      <w:rFonts w:ascii="Times New Roman" w:hAnsi="Times New Roman" w:cs="Times New Roman"/>
      <w:sz w:val="24"/>
    </w:rPr>
  </w:style>
  <w:style w:type="paragraph" w:customStyle="1" w:styleId="60">
    <w:name w:val="texto_justificado_recuo_primeira_linha"/>
    <w:basedOn w:val="1"/>
    <w:qFormat/>
    <w:uiPriority w:val="0"/>
    <w:pPr>
      <w:spacing w:before="100" w:beforeAutospacing="1" w:after="100" w:afterAutospacing="1"/>
    </w:pPr>
    <w:rPr>
      <w:rFonts w:ascii="Times New Roman" w:hAnsi="Times New Roman" w:cs="Times New Roman"/>
      <w:sz w:val="24"/>
    </w:rPr>
  </w:style>
  <w:style w:type="character" w:customStyle="1" w:styleId="61">
    <w:name w:val="highlight"/>
    <w:basedOn w:val="13"/>
    <w:qFormat/>
    <w:uiPriority w:val="0"/>
  </w:style>
  <w:style w:type="paragraph" w:customStyle="1" w:styleId="62">
    <w:name w:val="texto_justificado"/>
    <w:basedOn w:val="1"/>
    <w:qFormat/>
    <w:uiPriority w:val="0"/>
    <w:pPr>
      <w:spacing w:before="100" w:beforeAutospacing="1" w:after="100" w:afterAutospacing="1"/>
    </w:pPr>
    <w:rPr>
      <w:rFonts w:ascii="Times New Roman" w:hAnsi="Times New Roman" w:cs="Times New Roman"/>
      <w:sz w:val="24"/>
    </w:rPr>
  </w:style>
  <w:style w:type="character" w:customStyle="1" w:styleId="63">
    <w:name w:val="Nivel1 Char"/>
    <w:basedOn w:val="40"/>
    <w:link w:val="42"/>
    <w:qFormat/>
    <w:uiPriority w:val="0"/>
    <w:rPr>
      <w:rFonts w:ascii="Arial" w:hAnsi="Arial" w:cs="Arial" w:eastAsiaTheme="majorEastAsia"/>
      <w:bCs w:val="0"/>
      <w:color w:val="000000"/>
      <w:sz w:val="28"/>
      <w:szCs w:val="28"/>
    </w:rPr>
  </w:style>
  <w:style w:type="paragraph" w:customStyle="1" w:styleId="64">
    <w:name w:val="Parágrafo da Lista1"/>
    <w:basedOn w:val="1"/>
    <w:qFormat/>
    <w:uiPriority w:val="0"/>
    <w:pPr>
      <w:ind w:left="720"/>
    </w:pPr>
    <w:rPr>
      <w:rFonts w:ascii="Ecofont_Spranq_eco_Sans" w:hAnsi="Ecofont_Spranq_eco_Sans" w:cs="Ecofont_Spranq_eco_Sans"/>
      <w:sz w:val="24"/>
    </w:rPr>
  </w:style>
  <w:style w:type="paragraph" w:customStyle="1" w:styleId="65">
    <w:name w:val="Nivel 2"/>
    <w:qFormat/>
    <w:uiPriority w:val="0"/>
    <w:pPr>
      <w:numPr>
        <w:ilvl w:val="1"/>
        <w:numId w:val="3"/>
      </w:numPr>
      <w:spacing w:before="120" w:after="120" w:line="276" w:lineRule="auto"/>
      <w:jc w:val="both"/>
    </w:pPr>
    <w:rPr>
      <w:rFonts w:ascii="Ecofont_Spranq_eco_Sans" w:hAnsi="Ecofont_Spranq_eco_Sans" w:eastAsia="Arial Unicode MS" w:cs="Times New Roman"/>
      <w:lang w:val="pt-BR" w:eastAsia="pt-BR" w:bidi="ar-SA"/>
    </w:rPr>
  </w:style>
  <w:style w:type="paragraph" w:customStyle="1" w:styleId="66">
    <w:name w:val="Nivel 1"/>
    <w:basedOn w:val="65"/>
    <w:next w:val="65"/>
    <w:qFormat/>
    <w:uiPriority w:val="0"/>
    <w:pPr>
      <w:numPr>
        <w:ilvl w:val="0"/>
      </w:numPr>
    </w:pPr>
    <w:rPr>
      <w:rFonts w:cs="Arial"/>
      <w:b/>
    </w:rPr>
  </w:style>
  <w:style w:type="paragraph" w:customStyle="1" w:styleId="67">
    <w:name w:val="Nivel 3"/>
    <w:basedOn w:val="65"/>
    <w:qFormat/>
    <w:uiPriority w:val="0"/>
    <w:pPr>
      <w:numPr>
        <w:ilvl w:val="2"/>
      </w:numPr>
    </w:pPr>
    <w:rPr>
      <w:rFonts w:cs="Arial"/>
      <w:color w:val="000000"/>
    </w:rPr>
  </w:style>
  <w:style w:type="paragraph" w:customStyle="1" w:styleId="68">
    <w:name w:val="Nivel 4"/>
    <w:basedOn w:val="67"/>
    <w:link w:val="70"/>
    <w:qFormat/>
    <w:uiPriority w:val="0"/>
    <w:pPr>
      <w:numPr>
        <w:ilvl w:val="3"/>
      </w:numPr>
    </w:pPr>
    <w:rPr>
      <w:color w:val="auto"/>
    </w:rPr>
  </w:style>
  <w:style w:type="paragraph" w:customStyle="1" w:styleId="69">
    <w:name w:val="Nivel 5"/>
    <w:basedOn w:val="68"/>
    <w:qFormat/>
    <w:uiPriority w:val="0"/>
    <w:pPr>
      <w:numPr>
        <w:ilvl w:val="4"/>
      </w:numPr>
      <w:tabs>
        <w:tab w:val="left" w:pos="360"/>
      </w:tabs>
    </w:pPr>
  </w:style>
  <w:style w:type="character" w:customStyle="1" w:styleId="70">
    <w:name w:val="Nivel 4 Char"/>
    <w:basedOn w:val="13"/>
    <w:link w:val="68"/>
    <w:qFormat/>
    <w:uiPriority w:val="0"/>
    <w:rPr>
      <w:rFonts w:ascii="Ecofont_Spranq_eco_Sans" w:hAnsi="Ecofont_Spranq_eco_Sans" w:eastAsia="Arial Unicode MS" w:cs="Arial"/>
    </w:rPr>
  </w:style>
  <w:style w:type="paragraph" w:customStyle="1" w:styleId="71">
    <w:name w:val="textbody"/>
    <w:basedOn w:val="1"/>
    <w:qFormat/>
    <w:uiPriority w:val="0"/>
    <w:pPr>
      <w:spacing w:before="100" w:beforeAutospacing="1" w:after="100" w:afterAutospacing="1"/>
    </w:pPr>
    <w:rPr>
      <w:rFonts w:ascii="Times New Roman" w:hAnsi="Times New Roman" w:cs="Times New Roman"/>
      <w:sz w:val="24"/>
    </w:rPr>
  </w:style>
  <w:style w:type="paragraph" w:customStyle="1" w:styleId="72">
    <w:name w:val="Standard"/>
    <w:qFormat/>
    <w:uiPriority w:val="0"/>
    <w:pPr>
      <w:widowControl w:val="0"/>
      <w:suppressAutoHyphens/>
      <w:bidi w:val="0"/>
      <w:spacing w:before="0" w:after="0"/>
      <w:jc w:val="left"/>
      <w:textAlignment w:val="baseline"/>
    </w:pPr>
    <w:rPr>
      <w:rFonts w:ascii="Times New Roman" w:hAnsi="Times New Roman" w:eastAsia="SimSun" w:cs="Mangal"/>
      <w:color w:val="auto"/>
      <w:kern w:val="2"/>
      <w:sz w:val="24"/>
      <w:szCs w:val="20"/>
      <w:lang w:val="pt-BR" w:eastAsia="en-US" w:bidi="ar-SA"/>
    </w:rPr>
  </w:style>
  <w:style w:type="paragraph" w:customStyle="1" w:styleId="73">
    <w:name w:val="Footer"/>
    <w:basedOn w:val="1"/>
    <w:qFormat/>
    <w:uiPriority w:val="99"/>
    <w:pPr>
      <w:tabs>
        <w:tab w:val="center" w:pos="4252"/>
        <w:tab w:val="right" w:pos="8504"/>
      </w:tabs>
    </w:pPr>
    <w:rPr>
      <w:rFonts w:hint="default"/>
      <w:sz w:val="24"/>
    </w:rPr>
  </w:style>
  <w:style w:type="paragraph" w:customStyle="1" w:styleId="74">
    <w:name w:val="Header"/>
    <w:basedOn w:val="1"/>
    <w:qFormat/>
    <w:uiPriority w:val="0"/>
    <w:pPr>
      <w:tabs>
        <w:tab w:val="center" w:pos="4252"/>
        <w:tab w:val="right" w:pos="8504"/>
      </w:tabs>
    </w:pPr>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E39A2-6B41-46B8-B374-04C32E5E3610}">
  <ds:schemaRefs/>
</ds:datastoreItem>
</file>

<file path=customXml/itemProps3.xml><?xml version="1.0" encoding="utf-8"?>
<ds:datastoreItem xmlns:ds="http://schemas.openxmlformats.org/officeDocument/2006/customXml" ds:itemID="{AFBEB2BE-968F-4F08-A2F2-52D0ECDD4820}">
  <ds:schemaRefs/>
</ds:datastoreItem>
</file>

<file path=customXml/itemProps4.xml><?xml version="1.0" encoding="utf-8"?>
<ds:datastoreItem xmlns:ds="http://schemas.openxmlformats.org/officeDocument/2006/customXml" ds:itemID="{2B11408A-6D5C-4CA6-95AE-BDB1C00B1E4C}">
  <ds:schemaRefs/>
</ds:datastoreItem>
</file>

<file path=customXml/itemProps5.xml><?xml version="1.0" encoding="utf-8"?>
<ds:datastoreItem xmlns:ds="http://schemas.openxmlformats.org/officeDocument/2006/customXml" ds:itemID="{F75959FA-F200-4562-92EA-5DBB5C9E194C}">
  <ds:schemaRefs/>
</ds:datastoreItem>
</file>

<file path=docProps/app.xml><?xml version="1.0" encoding="utf-8"?>
<Properties xmlns="http://schemas.openxmlformats.org/officeDocument/2006/extended-properties" xmlns:vt="http://schemas.openxmlformats.org/officeDocument/2006/docPropsVTypes">
  <Template>modelo de modelo de minuta</Template>
  <Company>AGU/CGU</Company>
  <Pages>39</Pages>
  <Words>18775</Words>
  <Characters>104239</Characters>
  <Lines>868</Lines>
  <Paragraphs>245</Paragraphs>
  <TotalTime>18</TotalTime>
  <ScaleCrop>false</ScaleCrop>
  <LinksUpToDate>false</LinksUpToDate>
  <CharactersWithSpaces>122769</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2020-05-22T19:26:00Z</dcterms:created>
  <dc:creator>Manoel Paz e Silva Filho</dc:creator>
  <cp:lastModifiedBy>IFPB</cp:lastModifiedBy>
  <cp:lastPrinted>2020-05-22T19:26:00Z</cp:lastPrinted>
  <dcterms:modified xsi:type="dcterms:W3CDTF">2020-08-20T12:14:45Z</dcterms:modified>
  <dc:title>Edital para Pregão Eletrônico, Serviços Contínuos com dedicação exclusiva de mão de obra. Habilitação Completa e Ampla Participação</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1046-11.2.0.9629</vt:lpwstr>
  </property>
</Properties>
</file>