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/>
          <w:b/>
          <w:bCs/>
          <w:iCs/>
          <w:color w:val="000000"/>
          <w:szCs w:val="20"/>
        </w:rPr>
      </w:pPr>
    </w:p>
    <w:p>
      <w:pPr>
        <w:jc w:val="center"/>
        <w:rPr>
          <w:rFonts w:cs="Arial"/>
          <w:b/>
          <w:bCs/>
          <w:iCs/>
          <w:color w:val="000000"/>
          <w:szCs w:val="20"/>
        </w:rPr>
      </w:pPr>
      <w:r>
        <w:rPr>
          <w:rFonts w:cs="Arial"/>
          <w:b/>
          <w:bCs/>
          <w:iCs/>
          <w:color w:val="000000"/>
          <w:szCs w:val="20"/>
        </w:rPr>
        <w:t>ANEXO III</w:t>
      </w:r>
    </w:p>
    <w:p>
      <w:pPr>
        <w:jc w:val="center"/>
        <w:rPr>
          <w:rFonts w:cs="Arial"/>
          <w:b/>
          <w:bCs/>
          <w:iCs/>
          <w:color w:val="000000"/>
          <w:szCs w:val="20"/>
        </w:rPr>
      </w:pPr>
      <w:r>
        <w:rPr>
          <w:rFonts w:cs="Arial"/>
          <w:b/>
          <w:bCs/>
          <w:iCs/>
          <w:color w:val="000000"/>
          <w:szCs w:val="20"/>
        </w:rPr>
        <w:t>ATA DE REGISTRO DE PREÇOS</w:t>
      </w:r>
    </w:p>
    <w:p>
      <w:pPr>
        <w:jc w:val="center"/>
        <w:rPr>
          <w:rFonts w:cs="Arial"/>
          <w:b/>
          <w:bCs/>
          <w:iCs/>
          <w:szCs w:val="20"/>
        </w:rPr>
      </w:pPr>
      <w:r>
        <w:rPr>
          <w:rFonts w:cs="Arial"/>
          <w:b/>
          <w:bCs/>
          <w:iCs/>
          <w:szCs w:val="20"/>
        </w:rPr>
        <w:t>(PRESTAÇÃO DE SERVIÇOS)</w:t>
      </w:r>
    </w:p>
    <w:p>
      <w:pPr>
        <w:jc w:val="center"/>
        <w:rPr>
          <w:rFonts w:cs="Arial"/>
          <w:szCs w:val="20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MINISTÉRIO DA EDUCAÇÃO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INSTITUTO FEDERAL DA PARAÍBA - CAMPUS JOÃO PESSOA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DEPARTAMENTO DE LOGÍSTICA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COORDENAÇÃO DE COMPRAS E LICITAÇÕES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i/>
          <w:color w:val="FF0000"/>
          <w:szCs w:val="20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ATA DE REGISTRO DE PREÇOS 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N.º .........</w:t>
      </w:r>
    </w:p>
    <w:p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sz w:val="22"/>
          <w:szCs w:val="22"/>
        </w:rPr>
      </w:pP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</w:t>
      </w:r>
      <w:r>
        <w:rPr>
          <w:rFonts w:cs="Arial"/>
          <w:b/>
          <w:szCs w:val="20"/>
        </w:rPr>
        <w:t>Instituto Federal de Educação, Ciência e Tecnologia Da Paraíba - Campus João Pessoa</w:t>
      </w:r>
      <w:r>
        <w:rPr>
          <w:rFonts w:cs="Arial"/>
          <w:szCs w:val="20"/>
        </w:rPr>
        <w:t xml:space="preserve">, situado na Av. Primeiro de Maio, 720 - Jaguaribe - CEP 58.015.430 - João Pessoa/PB, inscrita no CNPJ sob o nº 10.783.898/0002-56, neste ato representada pelo Diretor Geral NEILOR CESAR DOS SANTOS, nomeado(a) pela Portaria nº 2837/2018 de 30 de novembro de 2018, publicada no DOU de 03 de dezembro de 2018, portador da matrícula funcional nº 274094,,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nº ......./20..., publicada no ...... de ...../...../20....., processo administrativo nº 23381.000096.2018-10,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>
      <w:pPr>
        <w:pStyle w:val="26"/>
      </w:pPr>
      <w:r>
        <w:t>DO OBJETO</w:t>
      </w:r>
    </w:p>
    <w:p>
      <w:pPr>
        <w:numPr>
          <w:ilvl w:val="0"/>
          <w:numId w:val="0"/>
        </w:numPr>
        <w:spacing w:line="360" w:lineRule="auto"/>
        <w:ind w:right="-1" w:rightChars="0" w:firstLine="700" w:firstLineChars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r>
        <w:rPr>
          <w:rFonts w:hint="default" w:cs="Arial"/>
          <w:szCs w:val="20"/>
          <w:lang w:val="pt-BR"/>
        </w:rPr>
        <w:t>a</w:t>
      </w:r>
      <w:r>
        <w:rPr>
          <w:rFonts w:cs="Arial"/>
          <w:color w:val="000000" w:themeColor="text1"/>
          <w:szCs w:val="20"/>
          <w14:textFill>
            <w14:solidFill>
              <w14:schemeClr w14:val="tx1"/>
            </w14:solidFill>
          </w14:textFill>
        </w:rPr>
        <w:t>quisição</w:t>
      </w:r>
      <w:r>
        <w:rPr>
          <w:rFonts w:hint="default" w:cs="Arial"/>
          <w:color w:val="000000" w:themeColor="text1"/>
          <w:szCs w:val="20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cs="Arial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incluindo os serviços de instalação de </w:t>
      </w:r>
      <w:r>
        <w:rPr>
          <w:rFonts w:hint="default" w:cs="Arial"/>
          <w:color w:val="000000" w:themeColor="text1"/>
          <w:szCs w:val="20"/>
          <w:lang w:val="pt-BR"/>
          <w14:textFill>
            <w14:solidFill>
              <w14:schemeClr w14:val="tx1"/>
            </w14:solidFill>
          </w14:textFill>
        </w:rPr>
        <w:t xml:space="preserve">dois </w:t>
      </w:r>
      <w:r>
        <w:rPr>
          <w:rFonts w:cs="Arial"/>
          <w:color w:val="000000" w:themeColor="text1"/>
          <w:szCs w:val="20"/>
          <w14:textFill>
            <w14:solidFill>
              <w14:schemeClr w14:val="tx1"/>
            </w14:solidFill>
          </w14:textFill>
        </w:rPr>
        <w:t>elevador</w:t>
      </w:r>
      <w:r>
        <w:rPr>
          <w:rFonts w:hint="default" w:cs="Arial"/>
          <w:color w:val="000000" w:themeColor="text1"/>
          <w:szCs w:val="20"/>
          <w:lang w:val="pt-BR"/>
          <w14:textFill>
            <w14:solidFill>
              <w14:schemeClr w14:val="tx1"/>
            </w14:solidFill>
          </w14:textFill>
        </w:rPr>
        <w:t>es</w:t>
      </w:r>
      <w:r>
        <w:rPr>
          <w:rFonts w:cs="Arial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de tração elétrica em aço inox escovado, capacidade de 650kg a 675kg (08 a 09 passageiros), para atender às necessidades do Instituto Federal da Paraíba – IFPB/Campus João Pessoa, conforme especificações, quantitativos e condições descritas neste </w:t>
      </w:r>
      <w:r>
        <w:rPr>
          <w:rFonts w:hint="default" w:cs="Arial"/>
          <w:color w:val="000000" w:themeColor="text1"/>
          <w:szCs w:val="20"/>
          <w:lang w:val="pt-BR"/>
          <w14:textFill>
            <w14:solidFill>
              <w14:schemeClr w14:val="tx1"/>
            </w14:solidFill>
          </w14:textFill>
        </w:rPr>
        <w:t>Edital e seus anexos</w:t>
      </w:r>
      <w:bookmarkStart w:id="0" w:name="_GoBack"/>
      <w:bookmarkEnd w:id="0"/>
      <w:r>
        <w:rPr>
          <w:rFonts w:cs="Arial"/>
          <w:szCs w:val="20"/>
        </w:rPr>
        <w:t xml:space="preserve">, especificado no item 01 do Termo de Referência, anexo I do edital de </w:t>
      </w:r>
      <w:r>
        <w:rPr>
          <w:rFonts w:cs="Arial"/>
          <w:i/>
          <w:szCs w:val="20"/>
        </w:rPr>
        <w:t>Pregão</w:t>
      </w:r>
      <w:r>
        <w:rPr>
          <w:rFonts w:cs="Arial"/>
          <w:szCs w:val="20"/>
        </w:rPr>
        <w:t xml:space="preserve"> nº 11/2019, que é parte integrante desta Ata, assim como a proposta vencedora, independentemente de transcrição.</w:t>
      </w:r>
    </w:p>
    <w:p>
      <w:pPr>
        <w:pStyle w:val="26"/>
      </w:pPr>
      <w:r>
        <w:t>DOS PREÇOS, ESPECIFICAÇÕES E QUANTITATIVOS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Style w:val="15"/>
        <w:tblW w:w="9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231"/>
        <w:gridCol w:w="1112"/>
        <w:gridCol w:w="1111"/>
        <w:gridCol w:w="978"/>
        <w:gridCol w:w="1392"/>
        <w:gridCol w:w="1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99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1" w:type="dxa"/>
          </w:tcPr>
          <w:p>
            <w:pPr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DESCRIÇÃO/</w:t>
            </w:r>
          </w:p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ESPECIFICAÇÃO</w:t>
            </w:r>
          </w:p>
        </w:tc>
        <w:tc>
          <w:tcPr>
            <w:tcW w:w="1112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IDENT.</w:t>
            </w:r>
          </w:p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CATMAT</w:t>
            </w:r>
          </w:p>
        </w:tc>
        <w:tc>
          <w:tcPr>
            <w:tcW w:w="1111" w:type="dxa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UNID.DE MEDIDA</w:t>
            </w:r>
          </w:p>
        </w:tc>
        <w:tc>
          <w:tcPr>
            <w:tcW w:w="978" w:type="dxa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QUANT.</w:t>
            </w:r>
          </w:p>
        </w:tc>
        <w:tc>
          <w:tcPr>
            <w:tcW w:w="1392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VALOR UNITÁRIO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MÁX.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ACEITÁVEL</w:t>
            </w:r>
          </w:p>
        </w:tc>
        <w:tc>
          <w:tcPr>
            <w:tcW w:w="1311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VALOR TOTAL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MÁX.</w:t>
            </w:r>
          </w:p>
          <w:p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ACEITÁVEL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</w:tcPr>
          <w:p>
            <w:pPr>
              <w:widowControl w:val="0"/>
              <w:suppressAutoHyphens/>
              <w:jc w:val="center"/>
              <w:rPr>
                <w:rFonts w:cs="Arial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31" w:type="dxa"/>
          </w:tcPr>
          <w:p>
            <w:pPr>
              <w:widowControl w:val="0"/>
              <w:suppressAutoHyphens/>
              <w:jc w:val="both"/>
              <w:rPr>
                <w:rFonts w:hint="default" w:cs="Arial"/>
                <w:color w:val="000000" w:themeColor="text1"/>
                <w:sz w:val="16"/>
                <w:szCs w:val="16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Elevador de tração elétrica em aço inox capacidade entre 650kg e 675kg (de 8 a 9 passageiros)</w:t>
            </w:r>
            <w:r>
              <w:rPr>
                <w:rFonts w:hint="default" w:cs="Arial"/>
                <w:color w:val="000000" w:themeColor="text1"/>
                <w:sz w:val="16"/>
                <w:szCs w:val="16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112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47287</w:t>
            </w:r>
          </w:p>
        </w:tc>
        <w:tc>
          <w:tcPr>
            <w:tcW w:w="1111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Unid.</w:t>
            </w:r>
          </w:p>
        </w:tc>
        <w:tc>
          <w:tcPr>
            <w:tcW w:w="978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92" w:type="dxa"/>
            <w:vAlign w:val="center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107.089,33</w:t>
            </w:r>
          </w:p>
        </w:tc>
        <w:tc>
          <w:tcPr>
            <w:tcW w:w="1311" w:type="dxa"/>
          </w:tcPr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214.178,66</w:t>
            </w:r>
          </w:p>
        </w:tc>
      </w:tr>
    </w:tbl>
    <w:p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</w:p>
    <w:p>
      <w:pPr>
        <w:pStyle w:val="26"/>
      </w:pPr>
      <w:r>
        <w:t>ÓRGÃO(S) GERENCIADOR E PARTICIPANTE(S)</w:t>
      </w:r>
    </w:p>
    <w:p>
      <w:pPr>
        <w:numPr>
          <w:ilvl w:val="1"/>
          <w:numId w:val="1"/>
        </w:numPr>
        <w:spacing w:before="120" w:after="120"/>
        <w:jc w:val="both"/>
      </w:pPr>
      <w:r>
        <w:rPr>
          <w:rFonts w:cs="Times New Roman"/>
          <w:i/>
          <w:szCs w:val="20"/>
        </w:rPr>
        <w:t>O órgão gerenciador será o Instituto Federal de Educação, Ciência e Tecnologia Da Paraíba - Campus João Pessoa</w:t>
      </w:r>
    </w:p>
    <w:p>
      <w:pPr>
        <w:numPr>
          <w:ilvl w:val="1"/>
          <w:numId w:val="1"/>
        </w:numPr>
        <w:spacing w:before="120" w:after="120"/>
        <w:jc w:val="both"/>
        <w:rPr>
          <w:rFonts w:cs="Times New Roman"/>
          <w:i/>
          <w:szCs w:val="20"/>
        </w:rPr>
      </w:pPr>
      <w:r>
        <w:rPr>
          <w:rFonts w:cs="Times New Roman"/>
          <w:i/>
          <w:szCs w:val="20"/>
        </w:rPr>
        <w:t xml:space="preserve">Não </w:t>
      </w:r>
      <w:r>
        <w:rPr>
          <w:rFonts w:hint="default" w:cs="Times New Roman"/>
          <w:i/>
          <w:szCs w:val="20"/>
          <w:lang w:val="pt-BR"/>
        </w:rPr>
        <w:t>h</w:t>
      </w:r>
      <w:r>
        <w:rPr>
          <w:rFonts w:cs="Times New Roman"/>
          <w:i/>
          <w:szCs w:val="20"/>
        </w:rPr>
        <w:t>averá participantes.</w:t>
      </w:r>
    </w:p>
    <w:p>
      <w:pPr>
        <w:pStyle w:val="26"/>
        <w:rPr>
          <w:i/>
          <w:lang w:eastAsia="en-US"/>
        </w:rPr>
      </w:pPr>
      <w:r>
        <w:rPr>
          <w:lang w:eastAsia="en-US"/>
        </w:rPr>
        <w:t xml:space="preserve">DA ADESÃO À ATA DE REGISTRO DE PREÇOS </w:t>
      </w:r>
    </w:p>
    <w:p>
      <w:pPr>
        <w:spacing w:before="120" w:after="120"/>
        <w:ind w:left="425"/>
        <w:jc w:val="both"/>
        <w:rPr>
          <w:i/>
          <w:szCs w:val="20"/>
          <w:lang w:eastAsia="en-US"/>
        </w:rPr>
      </w:pPr>
      <w:r>
        <w:rPr>
          <w:i/>
          <w:szCs w:val="20"/>
          <w:lang w:eastAsia="en-US"/>
        </w:rPr>
        <w:t>4.1    Não será admitida a adesão à ata de registro de preços decorrente desta licitação.</w:t>
      </w:r>
    </w:p>
    <w:p>
      <w:pPr>
        <w:pStyle w:val="26"/>
        <w:rPr>
          <w:iCs/>
        </w:rPr>
      </w:pPr>
      <w:r>
        <w:t xml:space="preserve">VALIDADE DA ATA 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>A validade da Ata de Registro de Preços será de 12 meses, a partir da assinatura da ata, não podendo ser prorrogada.</w:t>
      </w:r>
    </w:p>
    <w:p>
      <w:pPr>
        <w:pStyle w:val="26"/>
      </w:pPr>
      <w:r>
        <w:t xml:space="preserve">REVISÃO E CANCELAMENTO </w:t>
      </w:r>
    </w:p>
    <w:p>
      <w:pPr>
        <w:pStyle w:val="25"/>
        <w:numPr>
          <w:ilvl w:val="1"/>
          <w:numId w:val="1"/>
        </w:numPr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A ordem de classificação dos fornecedores que aceitarem reduzir seus preços aos valores de mercado observará a classificação original.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>
      <w:pPr>
        <w:pStyle w:val="26"/>
        <w:ind w:left="357" w:hanging="357"/>
      </w:pPr>
      <w:r>
        <w:t>DAS PENALIDADES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>
      <w:pPr>
        <w:pStyle w:val="26"/>
      </w:pPr>
      <w:r>
        <w:t>CONDIÇÕES GERAIS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5" w:firstLine="0"/>
        <w:jc w:val="both"/>
        <w:rPr>
          <w:rFonts w:cs="Arial"/>
          <w:iCs/>
          <w:sz w:val="21"/>
          <w:szCs w:val="20"/>
        </w:rPr>
      </w:pPr>
      <w:r>
        <w:rPr>
          <w:rFonts w:hint="default" w:cs="Arial"/>
          <w:iCs/>
          <w:sz w:val="21"/>
          <w:szCs w:val="20"/>
        </w:rPr>
        <w:t>A ata de realização da sessão pública do pregão, contendo a relação dos licitantes que aceitarem cotar os bens ou serviços com preços iguais ao do licitante vencedor do certame, compõe anexo a esta Ata de Registro de Preços, nos termos do art. 11, §4º do Decreto n. 7.892, de 2014.</w:t>
      </w: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szCs w:val="20"/>
        </w:rPr>
      </w:pP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 02 (duas) vias de igual teor, que, depois de lida e achada em ordem, vai assinada pelas partes</w:t>
      </w:r>
      <w:r>
        <w:rPr>
          <w:rFonts w:cs="Arial"/>
          <w:i/>
          <w:iCs/>
          <w:color w:val="FF0000"/>
          <w:szCs w:val="20"/>
        </w:rPr>
        <w:t>.</w:t>
      </w: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szCs w:val="20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>
        <w:rPr>
          <w:rFonts w:cs="Arial"/>
          <w:szCs w:val="20"/>
        </w:rPr>
        <w:t>Local e data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>
        <w:rPr>
          <w:rFonts w:cs="Arial"/>
          <w:szCs w:val="20"/>
        </w:rPr>
        <w:t>Assinaturas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FF"/>
          <w:szCs w:val="20"/>
        </w:rPr>
      </w:pPr>
      <w:r>
        <w:rPr>
          <w:rFonts w:cs="Arial"/>
          <w:szCs w:val="20"/>
        </w:rPr>
        <w:t xml:space="preserve">Representante legal do órgão gerenciador e representante(s) legal(is) do(s) </w:t>
      </w:r>
      <w:r>
        <w:rPr>
          <w:rFonts w:cs="Arial"/>
          <w:color w:val="000000"/>
          <w:szCs w:val="20"/>
        </w:rPr>
        <w:t>fornecedor(es) registrado(s)</w:t>
      </w:r>
    </w:p>
    <w:p>
      <w:pPr>
        <w:rPr>
          <w:rFonts w:cs="Arial"/>
          <w:szCs w:val="20"/>
        </w:rPr>
      </w:pPr>
    </w:p>
    <w:sectPr>
      <w:foot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Ecofont_Spranq_eco_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enQuanYi Micro 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t>____________________________________________________________________</w:t>
    </w:r>
  </w:p>
  <w:p>
    <w:pPr>
      <w:pStyle w:val="8"/>
      <w:rPr>
        <w:sz w:val="12"/>
        <w:szCs w:val="12"/>
      </w:rPr>
    </w:pPr>
    <w:r>
      <w:rPr>
        <w:sz w:val="12"/>
        <w:szCs w:val="12"/>
      </w:rPr>
      <w:t>Comissão Permanente de Atualização de Editais da Consultoria-Geral da União</w:t>
    </w:r>
  </w:p>
  <w:p>
    <w:pPr>
      <w:pStyle w:val="8"/>
      <w:rPr>
        <w:sz w:val="12"/>
        <w:szCs w:val="12"/>
      </w:rPr>
    </w:pPr>
    <w:r>
      <w:rPr>
        <w:sz w:val="12"/>
        <w:szCs w:val="12"/>
      </w:rPr>
      <w:t>Ata de Registro de Preços – modelo – pregão serviços</w:t>
    </w:r>
  </w:p>
  <w:p>
    <w:pPr>
      <w:pStyle w:val="8"/>
    </w:pPr>
    <w:r>
      <w:rPr>
        <w:sz w:val="12"/>
        <w:szCs w:val="12"/>
      </w:rPr>
      <w:t>Atualização: Julho/2017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11983857"/>
    <w:lvl w:ilvl="0" w:tentative="0">
      <w:start w:val="1"/>
      <w:numFmt w:val="decimal"/>
      <w:pStyle w:val="26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88C"/>
    <w:rsid w:val="000B7011"/>
    <w:rsid w:val="00113AE6"/>
    <w:rsid w:val="00116DDF"/>
    <w:rsid w:val="001225F6"/>
    <w:rsid w:val="00130234"/>
    <w:rsid w:val="001770D2"/>
    <w:rsid w:val="00183919"/>
    <w:rsid w:val="00192ACB"/>
    <w:rsid w:val="001D310A"/>
    <w:rsid w:val="001D7571"/>
    <w:rsid w:val="00210AA6"/>
    <w:rsid w:val="00217407"/>
    <w:rsid w:val="00220E98"/>
    <w:rsid w:val="0025456D"/>
    <w:rsid w:val="002712DA"/>
    <w:rsid w:val="00287B6A"/>
    <w:rsid w:val="0029606B"/>
    <w:rsid w:val="002A3357"/>
    <w:rsid w:val="002B3D1E"/>
    <w:rsid w:val="002E1277"/>
    <w:rsid w:val="002F4C05"/>
    <w:rsid w:val="003017F7"/>
    <w:rsid w:val="00302E73"/>
    <w:rsid w:val="003962AF"/>
    <w:rsid w:val="003A7990"/>
    <w:rsid w:val="003B47A1"/>
    <w:rsid w:val="003C49EC"/>
    <w:rsid w:val="003D2D32"/>
    <w:rsid w:val="003E658F"/>
    <w:rsid w:val="004070C9"/>
    <w:rsid w:val="0042684A"/>
    <w:rsid w:val="0043176D"/>
    <w:rsid w:val="00446920"/>
    <w:rsid w:val="00453D3C"/>
    <w:rsid w:val="0045635E"/>
    <w:rsid w:val="004811E3"/>
    <w:rsid w:val="004A5E69"/>
    <w:rsid w:val="004A6DF8"/>
    <w:rsid w:val="004C14E4"/>
    <w:rsid w:val="00502D9C"/>
    <w:rsid w:val="00520E7A"/>
    <w:rsid w:val="00622A02"/>
    <w:rsid w:val="00631E43"/>
    <w:rsid w:val="00644377"/>
    <w:rsid w:val="00673105"/>
    <w:rsid w:val="006D7024"/>
    <w:rsid w:val="006E7EBA"/>
    <w:rsid w:val="00734091"/>
    <w:rsid w:val="00760276"/>
    <w:rsid w:val="00767AC1"/>
    <w:rsid w:val="00810F58"/>
    <w:rsid w:val="00831233"/>
    <w:rsid w:val="00837420"/>
    <w:rsid w:val="00852550"/>
    <w:rsid w:val="00866CC7"/>
    <w:rsid w:val="008764C0"/>
    <w:rsid w:val="00882690"/>
    <w:rsid w:val="008D10FD"/>
    <w:rsid w:val="00906B4E"/>
    <w:rsid w:val="00921EFD"/>
    <w:rsid w:val="0093531B"/>
    <w:rsid w:val="0098734B"/>
    <w:rsid w:val="009B08EF"/>
    <w:rsid w:val="009D5E28"/>
    <w:rsid w:val="009E4456"/>
    <w:rsid w:val="00A52B45"/>
    <w:rsid w:val="00A57B8A"/>
    <w:rsid w:val="00A7721F"/>
    <w:rsid w:val="00AB0846"/>
    <w:rsid w:val="00B10156"/>
    <w:rsid w:val="00B37023"/>
    <w:rsid w:val="00B523BB"/>
    <w:rsid w:val="00B76EBB"/>
    <w:rsid w:val="00B8793D"/>
    <w:rsid w:val="00C017B6"/>
    <w:rsid w:val="00C1527B"/>
    <w:rsid w:val="00C159F6"/>
    <w:rsid w:val="00C341D8"/>
    <w:rsid w:val="00C35F50"/>
    <w:rsid w:val="00C5111B"/>
    <w:rsid w:val="00C60729"/>
    <w:rsid w:val="00C7693F"/>
    <w:rsid w:val="00C84993"/>
    <w:rsid w:val="00CB46FC"/>
    <w:rsid w:val="00CB6ADB"/>
    <w:rsid w:val="00D50B23"/>
    <w:rsid w:val="00D535EE"/>
    <w:rsid w:val="00D63A70"/>
    <w:rsid w:val="00D66549"/>
    <w:rsid w:val="00D72FB0"/>
    <w:rsid w:val="00D7344C"/>
    <w:rsid w:val="00D90DF8"/>
    <w:rsid w:val="00DA505B"/>
    <w:rsid w:val="00DB1AB2"/>
    <w:rsid w:val="00DD029E"/>
    <w:rsid w:val="00DD7B98"/>
    <w:rsid w:val="00E36376"/>
    <w:rsid w:val="00E46962"/>
    <w:rsid w:val="00E603AA"/>
    <w:rsid w:val="00EE517C"/>
    <w:rsid w:val="00EF3535"/>
    <w:rsid w:val="00F77F32"/>
    <w:rsid w:val="00FB3FE8"/>
    <w:rsid w:val="00FB7C83"/>
    <w:rsid w:val="00FD05A7"/>
    <w:rsid w:val="00FD7CFF"/>
    <w:rsid w:val="030F0422"/>
    <w:rsid w:val="09FC40E8"/>
    <w:rsid w:val="1B327BDF"/>
    <w:rsid w:val="3CB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Times New Roman" w:cs="Tahoma"/>
      <w:szCs w:val="24"/>
      <w:lang w:val="pt-BR" w:eastAsia="pt-BR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4">
    <w:name w:val="annotation text"/>
    <w:basedOn w:val="1"/>
    <w:link w:val="29"/>
    <w:semiHidden/>
    <w:unhideWhenUsed/>
    <w:qFormat/>
    <w:uiPriority w:val="0"/>
    <w:rPr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6">
    <w:name w:val="header"/>
    <w:basedOn w:val="1"/>
    <w:link w:val="19"/>
    <w:unhideWhenUsed/>
    <w:qFormat/>
    <w:uiPriority w:val="0"/>
    <w:pPr>
      <w:tabs>
        <w:tab w:val="center" w:pos="4252"/>
        <w:tab w:val="right" w:pos="8504"/>
      </w:tabs>
    </w:pPr>
  </w:style>
  <w:style w:type="paragraph" w:styleId="7">
    <w:name w:val="annotation subject"/>
    <w:basedOn w:val="4"/>
    <w:next w:val="4"/>
    <w:link w:val="30"/>
    <w:semiHidden/>
    <w:unhideWhenUsed/>
    <w:qFormat/>
    <w:uiPriority w:val="0"/>
    <w:rPr>
      <w:b/>
      <w:bCs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31"/>
    <w:semiHidden/>
    <w:unhideWhenUsed/>
    <w:qFormat/>
    <w:uiPriority w:val="0"/>
    <w:rPr>
      <w:rFonts w:ascii="Segoe UI" w:hAnsi="Segoe UI" w:cs="Segoe UI"/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0"/>
    <w:rPr>
      <w:sz w:val="16"/>
      <w:szCs w:val="16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6">
    <w:name w:val="Grade Colorida - Ênfase 11"/>
    <w:basedOn w:val="1"/>
    <w:next w:val="1"/>
    <w:link w:val="17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17">
    <w:name w:val="Grade Colorida - Ênfase 1 Char"/>
    <w:link w:val="16"/>
    <w:qFormat/>
    <w:uiPriority w:val="0"/>
    <w:rPr>
      <w:rFonts w:ascii="Ecofont_Spranq_eco_Sans" w:hAnsi="Ecofont_Spranq_eco_Sans" w:eastAsia="Calibri" w:cs="Tahoma"/>
      <w:i/>
      <w:iCs/>
      <w:color w:val="000000"/>
      <w:szCs w:val="24"/>
      <w:lang w:val="pt-BR" w:eastAsia="en-US" w:bidi="ar-SA"/>
    </w:rPr>
  </w:style>
  <w:style w:type="character" w:customStyle="1" w:styleId="18">
    <w:name w:val="Corpo de texto Char"/>
    <w:link w:val="3"/>
    <w:qFormat/>
    <w:uiPriority w:val="99"/>
    <w:rPr>
      <w:sz w:val="24"/>
      <w:szCs w:val="24"/>
    </w:rPr>
  </w:style>
  <w:style w:type="character" w:customStyle="1" w:styleId="19">
    <w:name w:val="Cabeçalho Char"/>
    <w:basedOn w:val="10"/>
    <w:link w:val="6"/>
    <w:qFormat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20">
    <w:name w:val="Rodapé Char"/>
    <w:basedOn w:val="10"/>
    <w:link w:val="8"/>
    <w:qFormat/>
    <w:uiPriority w:val="0"/>
    <w:rPr>
      <w:rFonts w:ascii="Ecofont_Spranq_eco_Sans" w:hAnsi="Ecofont_Spranq_eco_Sans" w:cs="Tahoma"/>
      <w:sz w:val="24"/>
      <w:szCs w:val="24"/>
    </w:rPr>
  </w:style>
  <w:style w:type="paragraph" w:customStyle="1" w:styleId="21">
    <w:name w:val="citação 2"/>
    <w:basedOn w:val="22"/>
    <w:link w:val="23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paragraph" w:styleId="22">
    <w:name w:val="Quote"/>
    <w:basedOn w:val="1"/>
    <w:next w:val="1"/>
    <w:link w:val="2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citação 2 Char"/>
    <w:basedOn w:val="24"/>
    <w:link w:val="21"/>
    <w:qFormat/>
    <w:uiPriority w:val="0"/>
    <w:rPr>
      <w:rFonts w:ascii="Ecofont_Spranq_eco_Sans" w:hAnsi="Ecofont_Spranq_eco_Sans" w:eastAsia="Calibri" w:cs="Tahoma"/>
      <w:color w:val="000000"/>
      <w:sz w:val="24"/>
      <w:szCs w:val="24"/>
      <w:shd w:val="clear" w:color="auto" w:fill="FFFFCC"/>
      <w:lang w:eastAsia="en-US"/>
    </w:rPr>
  </w:style>
  <w:style w:type="character" w:customStyle="1" w:styleId="24">
    <w:name w:val="Citação Char"/>
    <w:basedOn w:val="10"/>
    <w:link w:val="22"/>
    <w:qFormat/>
    <w:uiPriority w:val="29"/>
    <w:rPr>
      <w:rFonts w:ascii="Ecofont_Spranq_eco_Sans" w:hAnsi="Ecofont_Spranq_eco_Sans" w:cs="Tahoma"/>
      <w:i/>
      <w:i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Nivel1"/>
    <w:basedOn w:val="2"/>
    <w:next w:val="1"/>
    <w:link w:val="28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spacing w:before="480" w:after="120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27">
    <w:name w:val="Título 1 Char"/>
    <w:basedOn w:val="10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8">
    <w:name w:val="Nivel1 Char"/>
    <w:basedOn w:val="27"/>
    <w:link w:val="26"/>
    <w:qFormat/>
    <w:uiPriority w:val="0"/>
    <w:rPr>
      <w:rFonts w:ascii="Arial" w:hAnsi="Arial" w:cs="Arial" w:eastAsiaTheme="majorEastAsia"/>
      <w:b/>
      <w:bCs/>
      <w:color w:val="376092" w:themeColor="accent1" w:themeShade="BF"/>
      <w:sz w:val="32"/>
      <w:szCs w:val="32"/>
    </w:rPr>
  </w:style>
  <w:style w:type="character" w:customStyle="1" w:styleId="29">
    <w:name w:val="Texto de comentário Char"/>
    <w:basedOn w:val="10"/>
    <w:link w:val="4"/>
    <w:semiHidden/>
    <w:qFormat/>
    <w:uiPriority w:val="0"/>
    <w:rPr>
      <w:rFonts w:ascii="Arial" w:hAnsi="Arial" w:cs="Tahoma"/>
    </w:rPr>
  </w:style>
  <w:style w:type="character" w:customStyle="1" w:styleId="30">
    <w:name w:val="Assunto do comentário Char"/>
    <w:basedOn w:val="29"/>
    <w:link w:val="7"/>
    <w:semiHidden/>
    <w:qFormat/>
    <w:uiPriority w:val="0"/>
    <w:rPr>
      <w:rFonts w:ascii="Arial" w:hAnsi="Arial" w:cs="Tahoma"/>
      <w:b/>
      <w:bCs/>
    </w:rPr>
  </w:style>
  <w:style w:type="character" w:customStyle="1" w:styleId="31">
    <w:name w:val="Texto de balão Char"/>
    <w:basedOn w:val="10"/>
    <w:link w:val="9"/>
    <w:semiHidden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D481D-3AF4-4149-BDB2-B4CCC3F9EE1E}">
  <ds:schemaRefs/>
</ds:datastoreItem>
</file>

<file path=customXml/itemProps3.xml><?xml version="1.0" encoding="utf-8"?>
<ds:datastoreItem xmlns:ds="http://schemas.openxmlformats.org/officeDocument/2006/customXml" ds:itemID="{3F6D1055-97D7-46F9-BA04-87682D846AA8}">
  <ds:schemaRefs/>
</ds:datastoreItem>
</file>

<file path=customXml/itemProps4.xml><?xml version="1.0" encoding="utf-8"?>
<ds:datastoreItem xmlns:ds="http://schemas.openxmlformats.org/officeDocument/2006/customXml" ds:itemID="{C797626B-4393-45B8-A3F1-57035870E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EDUARDO DOTTI</Company>
  <Pages>4</Pages>
  <Words>1086</Words>
  <Characters>5868</Characters>
  <Lines>48</Lines>
  <Paragraphs>13</Paragraphs>
  <TotalTime>0</TotalTime>
  <ScaleCrop>false</ScaleCrop>
  <LinksUpToDate>false</LinksUpToDate>
  <CharactersWithSpaces>6941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2019-07-23T20:07:00Z</dcterms:created>
  <dc:creator>Manoel Paz</dc:creator>
  <dc:description>Modelo idêntico ao de compras, salvo no que diz respeito à especificação do objeto e à respectiva nota explicativa.</dc:description>
  <cp:lastModifiedBy>IFPB</cp:lastModifiedBy>
  <cp:lastPrinted>2019-10-24T12:14:00Z</cp:lastPrinted>
  <dcterms:modified xsi:type="dcterms:W3CDTF">2020-06-02T17:31:04Z</dcterms:modified>
  <dc:title>MODELO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KSOProductBuildVer">
    <vt:lpwstr>1046-11.2.0.9363</vt:lpwstr>
  </property>
</Properties>
</file>