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III - DECLARAÇÃO DE NÃO ACÚMULO DE BOLSA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______________________________, portador do RG _________________ e CPF __________________, aluno (a) regularmente matriculado no curso 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3.2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DG-CZ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12/2025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Alunos bolsistas não podem acumular bolsas com outros editais vigentes do IFPB (excluídos os auxílios da CAEST), do CNPq, da CAPES, ou de qualquer outro órgão de fomento</w:t>
      </w:r>
      <w:r w:rsidDel="00000000" w:rsidR="00000000" w:rsidRPr="00000000">
        <w:rPr>
          <w:i w:val="1"/>
          <w:color w:val="00000a"/>
          <w:rtl w:val="0"/>
        </w:rPr>
        <w:t xml:space="preserve">, bem como não ter qualquer vínculo empregatício remunerado, como estágio remunerado, jovem aprendiz, dentre outros, seja este formal ou informal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declaro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estar apto a receber a bolsa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_____ de ___________  de 2025.</w:t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candidato(a)</w:t>
      </w:r>
    </w:p>
    <w:p w:rsidR="00000000" w:rsidDel="00000000" w:rsidP="00000000" w:rsidRDefault="00000000" w:rsidRPr="00000000" w14:paraId="00000010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5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tabs>
        <w:tab w:val="left" w:leader="none" w:pos="708"/>
      </w:tabs>
      <w:spacing w:after="200" w:line="276" w:lineRule="auto"/>
      <w:jc w:val="center"/>
      <w:rPr/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DG-CZ Nº </w:t>
    </w:r>
    <w:r w:rsidDel="00000000" w:rsidR="00000000" w:rsidRPr="00000000">
      <w:rPr>
        <w:b w:val="1"/>
        <w:sz w:val="24"/>
        <w:szCs w:val="24"/>
        <w:rtl w:val="0"/>
      </w:rPr>
      <w:t xml:space="preserve">12/2025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+O8KvzxtdIq8Y+sr8O0dUtrZQ==">CgMxLjA4AHIhMTFVVTFlYmczakc0Z1MyTXA1OEY0eWJSTGM4SDNTdzla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