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16/2024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estar apto a receber a bolsa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___________  de 2024.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</w:t>
    </w:r>
    <w:r w:rsidDel="00000000" w:rsidR="00000000" w:rsidRPr="00000000">
      <w:rPr>
        <w:b w:val="1"/>
        <w:sz w:val="24"/>
        <w:szCs w:val="24"/>
        <w:rtl w:val="0"/>
      </w:rPr>
      <w:t xml:space="preserve">16</w:t>
    </w:r>
    <w:r w:rsidDel="00000000" w:rsidR="00000000" w:rsidRPr="00000000">
      <w:rPr>
        <w:b w:val="1"/>
        <w:sz w:val="24"/>
        <w:szCs w:val="24"/>
        <w:rtl w:val="0"/>
      </w:rPr>
      <w:t xml:space="preserve">/2024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4t/tVdjmu02GhpAyZn3l3jplg==">CgMxLjA4AHIhMVR4em1GWFRLVVV4aG9ZREx1NFB4cGFpQmtOZzVtcE1z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